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2A4A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FFFFF"/>
          <w:sz w:val="52"/>
          <w:szCs w:val="52"/>
        </w:rPr>
        <w:t xml:space="preserve">Michael Spark</w:t>
      </w:r>
    </w:p>
    <w:p>
      <w:pPr>
        <w:shd w:fill="1B2A4A" w:val="clear"/>
        <w:spacing w:after="0" w:before="0"/>
        <w:jc w:val="center"/>
      </w:pPr>
      <w:r>
        <w:rPr>
          <w:rFonts w:ascii="Calibri" w:cs="Calibri" w:eastAsia="Calibri" w:hAnsi="Calibri"/>
          <w:color w:val="FFFFFF"/>
          <w:sz w:val="24"/>
          <w:szCs w:val="24"/>
        </w:rPr>
        <w:t xml:space="preserve">Chief Executive Officer</w:t>
      </w:r>
    </w:p>
    <w:p>
      <w:pPr>
        <w:shd w:fill="1B2A4A" w:val="clear"/>
        <w:spacing w:after="120" w:before="60"/>
        <w:jc w:val="center"/>
      </w:pPr>
      <w:r>
        <w:rPr>
          <w:rFonts w:ascii="Calibri" w:cs="Calibri" w:eastAsia="Calibri" w:hAnsi="Calibri"/>
          <w:color w:val="FFFFFF"/>
          <w:sz w:val="18"/>
          <w:szCs w:val="18"/>
        </w:rPr>
        <w:t xml:space="preserve">spark@email.com  ·  (555) 201-4425  ·  linkedin.com/in/spark  ·  Austin, TX</w:t>
      </w: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Visionary Chief Executive Officer with 10 years of progressive leadership experience scaling technology companies from early growth to mid-market. Proven track record of raising $35M+ in venture capital, building high-performance executive teams, and driving triple-digit revenue growth. Expert at product-market fit, go-to-market strategy, and building resilient organizational cultures.</w:t>
      </w: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Chief Executive Officer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Jan 2019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2400E"/>
          <w:sz w:val="20"/>
          <w:szCs w:val="20"/>
        </w:rPr>
        <w:t xml:space="preserve">Vantara Technologies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Austin,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Scaled the company from 18 to 120 employees and $2M to $22M ARR in 5 years.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Led Series A and Series B fundraising rounds totaling $28M from top-tier venture capital firms.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Built and mentored a C-suite of 6 executives, establishing a culture of accountability and innovation.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Expanded international operations into UK and APAC markets, representing 30% of total revenue.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Repositioned the product roadmap, increasing net revenue retention (NRR) from 88% to 118%.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Chief Operating Officer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Mar 2016 – Dec 2018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2400E"/>
          <w:sz w:val="20"/>
          <w:szCs w:val="20"/>
        </w:rPr>
        <w:t xml:space="preserve">Nexgen SaaS Inc.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San Antonio,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Oversaw all revenue operations, product delivery, and customer success functions for a 60-person SaaS company.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OKR framework aligned to board strategy, improving cross-functional execution significantly.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Led the integration of an acquired startup, retaining 90% of acquired customers and all key personnel.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VP of Product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Jun 2014 – Feb 2016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2400E"/>
          <w:sz w:val="20"/>
          <w:szCs w:val="20"/>
        </w:rPr>
        <w:t xml:space="preserve">DataFirst Solutions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Austin,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Launched 3 major product initiatives that generated $5M in new recurring revenue within 18 months.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Built and led a 12-person product and engineering team through 2x growth in product complexity.</w:t>
      </w: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M.B.A. Entrepreneurship &amp; Strategy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2014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92400E"/>
          <w:sz w:val="20"/>
          <w:szCs w:val="20"/>
        </w:rPr>
        <w:t xml:space="preserve">McCombs School of Business, UT Austin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Computer Science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2011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92400E"/>
          <w:sz w:val="20"/>
          <w:szCs w:val="20"/>
        </w:rPr>
        <w:t xml:space="preserve">Texas A&amp;M University</w:t>
      </w: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Leadership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Strategic Planning · Board Relations · Fundraising · M&amp;A · P&amp;L Ownership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Growth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Go-to-Market Strategy · Revenue Operations · Product Vision · International Expansion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Salesforce · Tableau · OKR Frameworks · Carta · Linear</w:t>
            </w:r>
          </w:p>
        </w:tc>
      </w:tr>
    </w:tbl>
    <w:p>
      <w:pPr>
        <w:spacing w:after="60" w:before="0"/>
      </w:pP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C9A84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Harvard Executive Education – Leading Organizations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C9A84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Forbes Business Council Member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2026-04-20T16:49:29.038Z</dcterms:created>
  <dcterms:modified xsi:type="dcterms:W3CDTF">2026-04-20T16:49:29.038Z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