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0F172A" w:val="clear"/>
        <w:spacing w:after="0" w:before="0"/>
        <w:jc w:val="center"/>
      </w:pPr>
      <w:r>
        <w:rPr>
          <w:rFonts w:ascii="Calibri" w:cs="Calibri" w:eastAsia="Calibri" w:hAnsi="Calibri"/>
          <w:b/>
          <w:bCs/>
          <w:color w:val="F8FAFC"/>
          <w:sz w:val="52"/>
          <w:szCs w:val="52"/>
        </w:rPr>
        <w:t xml:space="preserve">Michael Spark</w:t>
      </w:r>
    </w:p>
    <w:p>
      <w:pPr>
        <w:shd w:fill="0F172A" w:val="clear"/>
        <w:spacing w:after="0" w:before="0"/>
        <w:jc w:val="center"/>
      </w:pPr>
      <w:r>
        <w:rPr>
          <w:rFonts w:ascii="Calibri" w:cs="Calibri" w:eastAsia="Calibri" w:hAnsi="Calibri"/>
          <w:color w:val="F8FAFC"/>
          <w:sz w:val="24"/>
          <w:szCs w:val="24"/>
        </w:rPr>
        <w:t xml:space="preserve">Mid-Level HR Manager</w:t>
      </w:r>
    </w:p>
    <w:p>
      <w:pPr>
        <w:shd w:fill="0F172A" w:val="clear"/>
        <w:spacing w:after="120" w:before="60"/>
        <w:jc w:val="center"/>
      </w:pPr>
      <w:r>
        <w:rPr>
          <w:rFonts w:ascii="Calibri" w:cs="Calibri" w:eastAsia="Calibri" w:hAnsi="Calibri"/>
          <w:color w:val="F8FAFC"/>
          <w:sz w:val="18"/>
          <w:szCs w:val="18"/>
        </w:rPr>
        <w:t xml:space="preserve">spark@email.com  ·  (555) 201-4422  ·  linkedin.com/in/spark  ·  Denver, CO</w:t>
      </w:r>
    </w:p>
    <w:p>
      <w:pPr>
        <w:pBdr>
          <w:bottom w:val="single" w:color="38BDF8" w:sz="8"/>
        </w:pBdr>
        <w:spacing w:after="60" w:before="160"/>
      </w:pPr>
      <w:r>
        <w:rPr>
          <w:rFonts w:ascii="Calibri" w:cs="Calibri" w:eastAsia="Calibri" w:hAnsi="Calibri"/>
          <w:b/>
          <w:bCs/>
          <w:color w:val="0C4A6E"/>
          <w:sz w:val="22"/>
          <w:szCs w:val="22"/>
        </w:rPr>
        <w:t xml:space="preserve">PROFESSIONAL SUMMARY</w:t>
      </w:r>
    </w:p>
    <w:p>
      <w:pPr>
        <w:spacing w:after="60" w:before="60"/>
      </w:pPr>
      <w:r>
        <w:rPr>
          <w:rFonts w:ascii="Calibri" w:cs="Calibri" w:eastAsia="Calibri" w:hAnsi="Calibri"/>
          <w:color w:val="374151"/>
          <w:sz w:val="20"/>
          <w:szCs w:val="20"/>
        </w:rPr>
        <w:t xml:space="preserve">Strategic HR Manager with 7 years of experience in talent acquisition, employee relations, performance management, and HR operations. Skilled at building inclusive cultures, reducing attrition, and aligning people strategy with business goals. Experienced in supporting organizations through rapid growth and change management initiatives.</w:t>
      </w:r>
    </w:p>
    <w:p>
      <w:pPr>
        <w:pBdr>
          <w:bottom w:val="single" w:color="38BDF8" w:sz="8"/>
        </w:pBdr>
        <w:spacing w:after="60" w:before="160"/>
      </w:pPr>
      <w:r>
        <w:rPr>
          <w:rFonts w:ascii="Calibri" w:cs="Calibri" w:eastAsia="Calibri" w:hAnsi="Calibri"/>
          <w:b/>
          <w:bCs/>
          <w:color w:val="0C4A6E"/>
          <w:sz w:val="22"/>
          <w:szCs w:val="22"/>
        </w:rPr>
        <w:t xml:space="preserve">PROFESSIONAL EXPERIENCE</w:t>
      </w:r>
    </w:p>
    <w:p>
      <w:pPr>
        <w:tabs>
          <w:tab w:val="right" w:pos="8640"/>
        </w:tabs>
        <w:spacing w:after="20" w:before="100"/>
      </w:pPr>
      <w:r>
        <w:rPr>
          <w:rFonts w:ascii="Calibri" w:cs="Calibri" w:eastAsia="Calibri" w:hAnsi="Calibri"/>
          <w:b/>
          <w:bCs/>
          <w:color w:val="111827"/>
          <w:sz w:val="22"/>
          <w:szCs w:val="22"/>
        </w:rPr>
        <w:t xml:space="preserve">HR Manager</w:t>
      </w:r>
      <w:r>
        <w:rPr>
          <w:rFonts w:ascii="Calibri" w:cs="Calibri" w:eastAsia="Calibri" w:hAnsi="Calibri"/>
          <w:i/>
          <w:iCs/>
          <w:color w:val="6B7280"/>
          <w:sz w:val="20"/>
          <w:szCs w:val="20"/>
        </w:rPr>
        <w:t xml:space="preserve">	Jun 2020 – Present</w:t>
      </w:r>
    </w:p>
    <w:p>
      <w:pPr>
        <w:tabs>
          <w:tab w:val="right" w:pos="8640"/>
        </w:tabs>
        <w:spacing w:after="60" w:before="0"/>
      </w:pPr>
      <w:r>
        <w:rPr>
          <w:rFonts w:ascii="Calibri" w:cs="Calibri" w:eastAsia="Calibri" w:hAnsi="Calibri"/>
          <w:b w:val="false"/>
          <w:bCs w:val="false"/>
          <w:i/>
          <w:iCs/>
          <w:color w:val="0369A1"/>
          <w:sz w:val="20"/>
          <w:szCs w:val="20"/>
        </w:rPr>
        <w:t xml:space="preserve">Alpine Technology Group</w:t>
      </w:r>
      <w:r>
        <w:rPr>
          <w:rFonts w:ascii="Calibri" w:cs="Calibri" w:eastAsia="Calibri" w:hAnsi="Calibri"/>
          <w:color w:val="9CA3AF"/>
          <w:sz w:val="20"/>
          <w:szCs w:val="20"/>
        </w:rPr>
        <w:t xml:space="preserve">	Denver, CO</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Lead all HR functions for a 350-person organization, managing a team of 4 HR generalists and 2 recruiters.</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Reduced voluntary attrition from 22% to 13% through improved onboarding, engagement programs, and manager training.</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Designed and implemented a competency-based performance management system adopted across all departments.</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Led a diversity &amp; inclusion initiative increasing underrepresented minority hiring by 35% over 2 years.</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Managed benefits administration and open enrollment, negotiating a 12% reduction in healthcare premiums.</w:t>
      </w:r>
    </w:p>
    <w:p>
      <w:pPr>
        <w:tabs>
          <w:tab w:val="right" w:pos="8640"/>
        </w:tabs>
        <w:spacing w:after="20" w:before="100"/>
      </w:pPr>
      <w:r>
        <w:rPr>
          <w:rFonts w:ascii="Calibri" w:cs="Calibri" w:eastAsia="Calibri" w:hAnsi="Calibri"/>
          <w:b/>
          <w:bCs/>
          <w:color w:val="111827"/>
          <w:sz w:val="22"/>
          <w:szCs w:val="22"/>
        </w:rPr>
        <w:t xml:space="preserve">HR Business Partner</w:t>
      </w:r>
      <w:r>
        <w:rPr>
          <w:rFonts w:ascii="Calibri" w:cs="Calibri" w:eastAsia="Calibri" w:hAnsi="Calibri"/>
          <w:i/>
          <w:iCs/>
          <w:color w:val="6B7280"/>
          <w:sz w:val="20"/>
          <w:szCs w:val="20"/>
        </w:rPr>
        <w:t xml:space="preserve">	Mar 2018 – May 2020</w:t>
      </w:r>
    </w:p>
    <w:p>
      <w:pPr>
        <w:tabs>
          <w:tab w:val="right" w:pos="8640"/>
        </w:tabs>
        <w:spacing w:after="60" w:before="0"/>
      </w:pPr>
      <w:r>
        <w:rPr>
          <w:rFonts w:ascii="Calibri" w:cs="Calibri" w:eastAsia="Calibri" w:hAnsi="Calibri"/>
          <w:b w:val="false"/>
          <w:bCs w:val="false"/>
          <w:i/>
          <w:iCs/>
          <w:color w:val="0369A1"/>
          <w:sz w:val="20"/>
          <w:szCs w:val="20"/>
        </w:rPr>
        <w:t xml:space="preserve">Rockies Financial Services</w:t>
      </w:r>
      <w:r>
        <w:rPr>
          <w:rFonts w:ascii="Calibri" w:cs="Calibri" w:eastAsia="Calibri" w:hAnsi="Calibri"/>
          <w:color w:val="9CA3AF"/>
          <w:sz w:val="20"/>
          <w:szCs w:val="20"/>
        </w:rPr>
        <w:t xml:space="preserve">	Denver, CO</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Partnered with 5 business units supporting 180 employees on all HR matters including ER, compensation, and talent planning.</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Managed full-cycle recruiting, filling 60+ positions per year with an average time-to-fill of 28 days.</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Developed and delivered manager effectiveness training attended by 40+ leaders.</w:t>
      </w:r>
    </w:p>
    <w:p>
      <w:pPr>
        <w:tabs>
          <w:tab w:val="right" w:pos="8640"/>
        </w:tabs>
        <w:spacing w:after="20" w:before="100"/>
      </w:pPr>
      <w:r>
        <w:rPr>
          <w:rFonts w:ascii="Calibri" w:cs="Calibri" w:eastAsia="Calibri" w:hAnsi="Calibri"/>
          <w:b/>
          <w:bCs/>
          <w:color w:val="111827"/>
          <w:sz w:val="22"/>
          <w:szCs w:val="22"/>
        </w:rPr>
        <w:t xml:space="preserve">HR Generalist</w:t>
      </w:r>
      <w:r>
        <w:rPr>
          <w:rFonts w:ascii="Calibri" w:cs="Calibri" w:eastAsia="Calibri" w:hAnsi="Calibri"/>
          <w:i/>
          <w:iCs/>
          <w:color w:val="6B7280"/>
          <w:sz w:val="20"/>
          <w:szCs w:val="20"/>
        </w:rPr>
        <w:t xml:space="preserve">	Aug 2017 – Feb 2018</w:t>
      </w:r>
    </w:p>
    <w:p>
      <w:pPr>
        <w:tabs>
          <w:tab w:val="right" w:pos="8640"/>
        </w:tabs>
        <w:spacing w:after="60" w:before="0"/>
      </w:pPr>
      <w:r>
        <w:rPr>
          <w:rFonts w:ascii="Calibri" w:cs="Calibri" w:eastAsia="Calibri" w:hAnsi="Calibri"/>
          <w:b w:val="false"/>
          <w:bCs w:val="false"/>
          <w:i/>
          <w:iCs/>
          <w:color w:val="0369A1"/>
          <w:sz w:val="20"/>
          <w:szCs w:val="20"/>
        </w:rPr>
        <w:t xml:space="preserve">Summit Retail Partners</w:t>
      </w:r>
      <w:r>
        <w:rPr>
          <w:rFonts w:ascii="Calibri" w:cs="Calibri" w:eastAsia="Calibri" w:hAnsi="Calibri"/>
          <w:color w:val="9CA3AF"/>
          <w:sz w:val="20"/>
          <w:szCs w:val="20"/>
        </w:rPr>
        <w:t xml:space="preserve">	Boulder, CO</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Handled employee onboarding, HRIS data management, and benefits enrollment for 200+ employees.</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Supported HR Business Partners in employee investigations and conflict resolution.</w:t>
      </w:r>
    </w:p>
    <w:p>
      <w:pPr>
        <w:pBdr>
          <w:bottom w:val="single" w:color="38BDF8" w:sz="8"/>
        </w:pBdr>
        <w:spacing w:after="60" w:before="160"/>
      </w:pPr>
      <w:r>
        <w:rPr>
          <w:rFonts w:ascii="Calibri" w:cs="Calibri" w:eastAsia="Calibri" w:hAnsi="Calibri"/>
          <w:b/>
          <w:bCs/>
          <w:color w:val="0C4A6E"/>
          <w:sz w:val="22"/>
          <w:szCs w:val="22"/>
        </w:rPr>
        <w:t xml:space="preserve">EDUCATION</w:t>
      </w:r>
    </w:p>
    <w:p>
      <w:pPr>
        <w:tabs>
          <w:tab w:val="right" w:pos="8640"/>
        </w:tabs>
        <w:spacing w:after="30" w:before="60"/>
      </w:pPr>
      <w:r>
        <w:rPr>
          <w:rFonts w:ascii="Calibri" w:cs="Calibri" w:eastAsia="Calibri" w:hAnsi="Calibri"/>
          <w:b/>
          <w:bCs/>
          <w:color w:val="111827"/>
          <w:sz w:val="20"/>
          <w:szCs w:val="20"/>
        </w:rPr>
        <w:t xml:space="preserve">B.S. Human Resource Management</w:t>
      </w:r>
      <w:r>
        <w:rPr>
          <w:rFonts w:ascii="Calibri" w:cs="Calibri" w:eastAsia="Calibri" w:hAnsi="Calibri"/>
          <w:color w:val="6B7280"/>
          <w:sz w:val="20"/>
          <w:szCs w:val="20"/>
        </w:rPr>
        <w:t xml:space="preserve">	2017</w:t>
      </w:r>
    </w:p>
    <w:p>
      <w:pPr>
        <w:spacing w:after="40" w:before="0"/>
      </w:pPr>
      <w:r>
        <w:rPr>
          <w:rFonts w:ascii="Calibri" w:cs="Calibri" w:eastAsia="Calibri" w:hAnsi="Calibri"/>
          <w:i/>
          <w:iCs/>
          <w:color w:val="0369A1"/>
          <w:sz w:val="20"/>
          <w:szCs w:val="20"/>
        </w:rPr>
        <w:t xml:space="preserve">Colorado State University</w:t>
      </w:r>
    </w:p>
    <w:p>
      <w:pPr>
        <w:pBdr>
          <w:bottom w:val="single" w:color="38BDF8" w:sz="8"/>
        </w:pBdr>
        <w:spacing w:after="60" w:before="160"/>
      </w:pPr>
      <w:r>
        <w:rPr>
          <w:rFonts w:ascii="Calibri" w:cs="Calibri" w:eastAsia="Calibri" w:hAnsi="Calibri"/>
          <w:b/>
          <w:bCs/>
          <w:color w:val="0C4A6E"/>
          <w:sz w:val="22"/>
          <w:szCs w:val="22"/>
        </w:rPr>
        <w:t xml:space="preserve">CORE SKILLS</w:t>
      </w:r>
    </w:p>
    <w:p>
      <w:pPr>
        <w:spacing w:after="4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none" w:color="FFFFFF" w:sz="0"/>
              <w:left w:val="none" w:color="FFFFFF" w:sz="0"/>
              <w:bottom w:val="none" w:color="FFFFFF" w:sz="0"/>
              <w:right w:val="none" w:color="FFFFFF" w:sz="0"/>
            </w:tcBorders>
            <w:shd w:fill="E0F2FE" w:val="clear"/>
            <w:tcMar>
              <w:top w:type="dxa" w:w="60"/>
              <w:left w:type="dxa" w:w="120"/>
              <w:bottom w:type="dxa" w:w="60"/>
              <w:right w:type="dxa" w:w="60"/>
            </w:tcMar>
          </w:tcPr>
          <w:p>
            <w:r>
              <w:rPr>
                <w:rFonts w:ascii="Calibri" w:cs="Calibri" w:eastAsia="Calibri" w:hAnsi="Calibri"/>
                <w:b/>
                <w:bCs/>
                <w:color w:val="0C4A6E"/>
                <w:sz w:val="20"/>
                <w:szCs w:val="20"/>
              </w:rPr>
              <w:t xml:space="preserve">HR Functions</w:t>
            </w:r>
          </w:p>
        </w:tc>
        <w:tc>
          <w:tcPr>
            <w:tcW w:type="dxa" w:w="7360"/>
            <w:tcBorders>
              <w:top w:val="none" w:color="FFFFFF" w:sz="0"/>
              <w:left w:val="none" w:color="FFFFFF" w:sz="0"/>
              <w:bottom w:val="none" w:color="FFFFFF" w:sz="0"/>
              <w:right w:val="none" w:color="FFFFFF" w:sz="0"/>
            </w:tcBorders>
            <w:shd w:fill="E0F2FE" w:val="clear"/>
            <w:tcMar>
              <w:top w:type="dxa" w:w="60"/>
              <w:left w:type="dxa" w:w="120"/>
              <w:bottom w:type="dxa" w:w="60"/>
              <w:right w:type="dxa" w:w="120"/>
            </w:tcMar>
          </w:tcPr>
          <w:p>
            <w:r>
              <w:rPr>
                <w:rFonts w:ascii="Calibri" w:cs="Calibri" w:eastAsia="Calibri" w:hAnsi="Calibri"/>
                <w:color w:val="374151"/>
                <w:sz w:val="20"/>
                <w:szCs w:val="20"/>
              </w:rPr>
              <w:t xml:space="preserve">Talent Acquisition · Employee Relations · Performance Management · DEIB</w:t>
            </w:r>
          </w:p>
        </w:tc>
      </w:tr>
      <w:tr>
        <w:tc>
          <w:tcPr>
            <w:tcW w:type="dxa" w:w="2000"/>
            <w:tcBorders>
              <w:top w:val="none" w:color="FFFFFF" w:sz="0"/>
              <w:left w:val="none" w:color="FFFFFF" w:sz="0"/>
              <w:bottom w:val="none" w:color="FFFFFF" w:sz="0"/>
              <w:right w:val="none" w:color="FFFFFF" w:sz="0"/>
            </w:tcBorders>
            <w:shd w:fill="E0F2FE" w:val="clear"/>
            <w:tcMar>
              <w:top w:type="dxa" w:w="60"/>
              <w:left w:type="dxa" w:w="120"/>
              <w:bottom w:type="dxa" w:w="60"/>
              <w:right w:type="dxa" w:w="60"/>
            </w:tcMar>
          </w:tcPr>
          <w:p>
            <w:r>
              <w:rPr>
                <w:rFonts w:ascii="Calibri" w:cs="Calibri" w:eastAsia="Calibri" w:hAnsi="Calibri"/>
                <w:b/>
                <w:bCs/>
                <w:color w:val="0C4A6E"/>
                <w:sz w:val="20"/>
                <w:szCs w:val="20"/>
              </w:rPr>
              <w:t xml:space="preserve">Compliance</w:t>
            </w:r>
          </w:p>
        </w:tc>
        <w:tc>
          <w:tcPr>
            <w:tcW w:type="dxa" w:w="7360"/>
            <w:tcBorders>
              <w:top w:val="none" w:color="FFFFFF" w:sz="0"/>
              <w:left w:val="none" w:color="FFFFFF" w:sz="0"/>
              <w:bottom w:val="none" w:color="FFFFFF" w:sz="0"/>
              <w:right w:val="none" w:color="FFFFFF" w:sz="0"/>
            </w:tcBorders>
            <w:shd w:fill="E0F2FE" w:val="clear"/>
            <w:tcMar>
              <w:top w:type="dxa" w:w="60"/>
              <w:left w:type="dxa" w:w="120"/>
              <w:bottom w:type="dxa" w:w="60"/>
              <w:right w:type="dxa" w:w="120"/>
            </w:tcMar>
          </w:tcPr>
          <w:p>
            <w:r>
              <w:rPr>
                <w:rFonts w:ascii="Calibri" w:cs="Calibri" w:eastAsia="Calibri" w:hAnsi="Calibri"/>
                <w:color w:val="374151"/>
                <w:sz w:val="20"/>
                <w:szCs w:val="20"/>
              </w:rPr>
              <w:t xml:space="preserve">FMLA · ADA · EEO · FLSA · OSHA · I-9 Compliance</w:t>
            </w:r>
          </w:p>
        </w:tc>
      </w:tr>
      <w:tr>
        <w:tc>
          <w:tcPr>
            <w:tcW w:type="dxa" w:w="2000"/>
            <w:tcBorders>
              <w:top w:val="none" w:color="FFFFFF" w:sz="0"/>
              <w:left w:val="none" w:color="FFFFFF" w:sz="0"/>
              <w:bottom w:val="none" w:color="FFFFFF" w:sz="0"/>
              <w:right w:val="none" w:color="FFFFFF" w:sz="0"/>
            </w:tcBorders>
            <w:shd w:fill="E0F2FE" w:val="clear"/>
            <w:tcMar>
              <w:top w:type="dxa" w:w="60"/>
              <w:left w:type="dxa" w:w="120"/>
              <w:bottom w:type="dxa" w:w="60"/>
              <w:right w:type="dxa" w:w="60"/>
            </w:tcMar>
          </w:tcPr>
          <w:p>
            <w:r>
              <w:rPr>
                <w:rFonts w:ascii="Calibri" w:cs="Calibri" w:eastAsia="Calibri" w:hAnsi="Calibri"/>
                <w:b/>
                <w:bCs/>
                <w:color w:val="0C4A6E"/>
                <w:sz w:val="20"/>
                <w:szCs w:val="20"/>
              </w:rPr>
              <w:t xml:space="preserve">Tools</w:t>
            </w:r>
          </w:p>
        </w:tc>
        <w:tc>
          <w:tcPr>
            <w:tcW w:type="dxa" w:w="7360"/>
            <w:tcBorders>
              <w:top w:val="none" w:color="FFFFFF" w:sz="0"/>
              <w:left w:val="none" w:color="FFFFFF" w:sz="0"/>
              <w:bottom w:val="none" w:color="FFFFFF" w:sz="0"/>
              <w:right w:val="none" w:color="FFFFFF" w:sz="0"/>
            </w:tcBorders>
            <w:shd w:fill="E0F2FE" w:val="clear"/>
            <w:tcMar>
              <w:top w:type="dxa" w:w="60"/>
              <w:left w:type="dxa" w:w="120"/>
              <w:bottom w:type="dxa" w:w="60"/>
              <w:right w:type="dxa" w:w="120"/>
            </w:tcMar>
          </w:tcPr>
          <w:p>
            <w:r>
              <w:rPr>
                <w:rFonts w:ascii="Calibri" w:cs="Calibri" w:eastAsia="Calibri" w:hAnsi="Calibri"/>
                <w:color w:val="374151"/>
                <w:sz w:val="20"/>
                <w:szCs w:val="20"/>
              </w:rPr>
              <w:t xml:space="preserve">Workday · ADP · Greenhouse · BambooHR · Microsoft Teams</w:t>
            </w:r>
          </w:p>
        </w:tc>
      </w:tr>
    </w:tbl>
    <w:p>
      <w:pPr>
        <w:spacing w:after="60" w:before="0"/>
      </w:pPr>
    </w:p>
    <w:p>
      <w:pPr>
        <w:pBdr>
          <w:bottom w:val="single" w:color="38BDF8" w:sz="8"/>
        </w:pBdr>
        <w:spacing w:after="60" w:before="160"/>
      </w:pPr>
      <w:r>
        <w:rPr>
          <w:rFonts w:ascii="Calibri" w:cs="Calibri" w:eastAsia="Calibri" w:hAnsi="Calibri"/>
          <w:b/>
          <w:bCs/>
          <w:color w:val="0C4A6E"/>
          <w:sz w:val="22"/>
          <w:szCs w:val="22"/>
        </w:rPr>
        <w:t xml:space="preserve">CERTIFICATIONS &amp; CREDENTIALS</w:t>
      </w:r>
    </w:p>
    <w:p>
      <w:pPr>
        <w:spacing w:after="40" w:before="40"/>
        <w:ind w:left="240"/>
      </w:pPr>
      <w:r>
        <w:rPr>
          <w:rFonts w:ascii="Calibri" w:cs="Calibri" w:eastAsia="Calibri" w:hAnsi="Calibri"/>
          <w:color w:val="0EA5E9"/>
          <w:sz w:val="20"/>
          <w:szCs w:val="20"/>
        </w:rPr>
        <w:t xml:space="preserve">✓  </w:t>
      </w:r>
      <w:r>
        <w:rPr>
          <w:rFonts w:ascii="Calibri" w:cs="Calibri" w:eastAsia="Calibri" w:hAnsi="Calibri"/>
          <w:color w:val="374151"/>
          <w:sz w:val="20"/>
          <w:szCs w:val="20"/>
        </w:rPr>
        <w:t xml:space="preserve">SHRM-CP – Society for Human Resource Management Certified Professional</w:t>
      </w:r>
    </w:p>
    <w:p>
      <w:pPr>
        <w:spacing w:after="40" w:before="40"/>
        <w:ind w:left="240"/>
      </w:pPr>
      <w:r>
        <w:rPr>
          <w:rFonts w:ascii="Calibri" w:cs="Calibri" w:eastAsia="Calibri" w:hAnsi="Calibri"/>
          <w:color w:val="0EA5E9"/>
          <w:sz w:val="20"/>
          <w:szCs w:val="20"/>
        </w:rPr>
        <w:t xml:space="preserve">✓  </w:t>
      </w:r>
      <w:r>
        <w:rPr>
          <w:rFonts w:ascii="Calibri" w:cs="Calibri" w:eastAsia="Calibri" w:hAnsi="Calibri"/>
          <w:color w:val="374151"/>
          <w:sz w:val="20"/>
          <w:szCs w:val="20"/>
        </w:rPr>
        <w:t xml:space="preserve">PHR – Professional in Human Resources</w:t>
      </w:r>
    </w:p>
    <w:sectPr>
      <w:pgSz w:w="12240" w:h="15840" w:orient="portrait"/>
      <w:pgMar w:top="864" w:right="1008" w:bottom="864" w:left="100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2026-04-20T16:49:28.979Z</dcterms:created>
  <dcterms:modified xsi:type="dcterms:W3CDTF">2026-04-20T16:49:28.979Z</dcterms:modified>
</cp:coreProperties>
</file>

<file path=docProps/custom.xml><?xml version="1.0" encoding="utf-8"?>
<Properties xmlns="http://schemas.openxmlformats.org/officeDocument/2006/custom-properties" xmlns:vt="http://schemas.openxmlformats.org/officeDocument/2006/docPropsVTypes"/>
</file>