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7B1D1D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Michelle Spark</w:t>
      </w:r>
    </w:p>
    <w:p>
      <w:pPr>
        <w:shd w:fill="7B1D1D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Attorney – Corporate Law</w:t>
      </w:r>
    </w:p>
    <w:p>
      <w:pPr>
        <w:shd w:fill="7B1D1D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201-4421  ·  linkedin.com/in/spark  ·  New York, NY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Corporate Attorney with 6 years of experience advising clients on M&amp;A transactions, corporate governance, commercial contracts, and securities law. Adept at managing complex, high-stakes transactions and providing pragmatic legal advice that balances risk and business objectives. Strong track record as trusted counsel to technology and private equity clients.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Associate Attorney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Sep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Hargrove &amp; Sterling LLP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New York, NY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Advised on 12+ M&amp;A transactions with aggregate deal value exceeding $3.8B, leading due diligence and negotiating purchase agreements.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Drafted and negotiated commercial agreements including SaaS, licensing, and distribution contracts.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Provided ongoing counsel to 8 portfolio companies of a $2B private equity fund on governance and compliance.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junior associates and coordinated with external counsel in multi-jurisdiction transactions.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Associate Attorney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Sep 2018 – Aug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Crestwood Law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New York, NY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M&amp;A transactions and equity financings for emerging growth technology companies.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Drafted equity compensation plans, stockholder agreements, and charter documents for 20+ startups.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Assisted clients with SEC reporting requirements including 10-K, 10-Q, and 8-K filings.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Juris Doctor (J.D.)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2018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91B1B"/>
          <w:sz w:val="20"/>
          <w:szCs w:val="20"/>
        </w:rPr>
        <w:t xml:space="preserve">New York University School of Law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B.A. Political Science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91B1B"/>
          <w:sz w:val="20"/>
          <w:szCs w:val="20"/>
        </w:rPr>
        <w:t xml:space="preserve">Georgetown University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Practice Areas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M&amp;A · Corporate Governance · Securities Law · Commercial Contracts · Private Equity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Skills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Contract Negotiation · Due Diligence · Legal Drafting · Risk Analysis · Client Advisory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Westlaw · LexisNexis · Kira AI · DocuSign · iManage</w:t>
            </w:r>
          </w:p>
        </w:tc>
      </w:tr>
    </w:tbl>
    <w:p>
      <w:pPr>
        <w:spacing w:after="60" w:before="0"/>
      </w:pP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B91C1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NY State Bar – Admitted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B91C1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NY &amp; NJ Federal District Courts – Admitted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2026-04-20T16:49:28.960Z</dcterms:created>
  <dcterms:modified xsi:type="dcterms:W3CDTF">2026-04-20T16:49:28.960Z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