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65F46" w:val="clear"/>
        <w:spacing w:after="0" w:before="0"/>
        <w:jc w:val="center"/>
      </w:pPr>
      <w:r>
        <w:rPr>
          <w:rFonts w:ascii="Calibri" w:cs="Calibri" w:eastAsia="Calibri" w:hAnsi="Calibri"/>
          <w:b/>
          <w:bCs/>
          <w:color w:val="FFFFFF"/>
          <w:sz w:val="52"/>
          <w:szCs w:val="52"/>
        </w:rPr>
        <w:t xml:space="preserve">Michael Spark</w:t>
      </w:r>
    </w:p>
    <w:p>
      <w:pPr>
        <w:shd w:fill="065F46" w:val="clear"/>
        <w:spacing w:after="0" w:before="0"/>
        <w:jc w:val="center"/>
      </w:pPr>
      <w:r>
        <w:rPr>
          <w:rFonts w:ascii="Calibri" w:cs="Calibri" w:eastAsia="Calibri" w:hAnsi="Calibri"/>
          <w:color w:val="FFFFFF"/>
          <w:sz w:val="24"/>
          <w:szCs w:val="24"/>
        </w:rPr>
        <w:t xml:space="preserve">Mid-Level Pharmacist</w:t>
      </w:r>
    </w:p>
    <w:p>
      <w:pPr>
        <w:shd w:fill="065F46" w:val="clear"/>
        <w:spacing w:after="120" w:before="60"/>
        <w:jc w:val="center"/>
      </w:pPr>
      <w:r>
        <w:rPr>
          <w:rFonts w:ascii="Calibri" w:cs="Calibri" w:eastAsia="Calibri" w:hAnsi="Calibri"/>
          <w:color w:val="FFFFFF"/>
          <w:sz w:val="18"/>
          <w:szCs w:val="18"/>
        </w:rPr>
        <w:t xml:space="preserve">spark@email.com  ·  (555) 201-4420  ·  linkedin.com/in/spark  ·  Columbus, OH</w:t>
      </w:r>
    </w:p>
    <w:p>
      <w:pPr>
        <w:pBdr>
          <w:bottom w:val="single" w:color="6EE7B7" w:sz="8"/>
        </w:pBdr>
        <w:spacing w:after="60" w:before="160"/>
      </w:pPr>
      <w:r>
        <w:rPr>
          <w:rFonts w:ascii="Calibri" w:cs="Calibri" w:eastAsia="Calibri" w:hAnsi="Calibri"/>
          <w:b/>
          <w:bCs/>
          <w:color w:val="064E3B"/>
          <w:sz w:val="22"/>
          <w:szCs w:val="22"/>
        </w:rPr>
        <w:t xml:space="preserve">PROFESSIONAL SUMMARY</w:t>
      </w:r>
    </w:p>
    <w:p>
      <w:pPr>
        <w:spacing w:after="60" w:before="60"/>
      </w:pPr>
      <w:r>
        <w:rPr>
          <w:rFonts w:ascii="Calibri" w:cs="Calibri" w:eastAsia="Calibri" w:hAnsi="Calibri"/>
          <w:color w:val="374151"/>
          <w:sz w:val="20"/>
          <w:szCs w:val="20"/>
        </w:rPr>
        <w:t xml:space="preserve">Doctor of Pharmacy with 6 years of clinical and retail experience in medication therapy management, patient counseling, and pharmacy operations. Recognized for exceptional accuracy, proactive clinical interventions, and leadership in pharmacy workflow optimization. Committed to improving medication adherence and patient health outcomes through collaborative practice.</w:t>
      </w:r>
    </w:p>
    <w:p>
      <w:pPr>
        <w:pBdr>
          <w:bottom w:val="single" w:color="6EE7B7" w:sz="8"/>
        </w:pBdr>
        <w:spacing w:after="60" w:before="160"/>
      </w:pPr>
      <w:r>
        <w:rPr>
          <w:rFonts w:ascii="Calibri" w:cs="Calibri" w:eastAsia="Calibri" w:hAnsi="Calibri"/>
          <w:b/>
          <w:bCs/>
          <w:color w:val="064E3B"/>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Staff Pharmacist</w:t>
      </w:r>
      <w:r>
        <w:rPr>
          <w:rFonts w:ascii="Calibri" w:cs="Calibri" w:eastAsia="Calibri" w:hAnsi="Calibri"/>
          <w:i/>
          <w:iCs/>
          <w:color w:val="6B7280"/>
          <w:sz w:val="20"/>
          <w:szCs w:val="20"/>
        </w:rPr>
        <w:t xml:space="preserve">	Sep 2020 – Present</w:t>
      </w:r>
    </w:p>
    <w:p>
      <w:pPr>
        <w:tabs>
          <w:tab w:val="right" w:pos="8640"/>
        </w:tabs>
        <w:spacing w:after="60" w:before="0"/>
      </w:pPr>
      <w:r>
        <w:rPr>
          <w:rFonts w:ascii="Calibri" w:cs="Calibri" w:eastAsia="Calibri" w:hAnsi="Calibri"/>
          <w:b w:val="false"/>
          <w:bCs w:val="false"/>
          <w:i/>
          <w:iCs/>
          <w:color w:val="047857"/>
          <w:sz w:val="20"/>
          <w:szCs w:val="20"/>
        </w:rPr>
        <w:t xml:space="preserve">OhioHealth Riverside Hospital</w:t>
      </w:r>
      <w:r>
        <w:rPr>
          <w:rFonts w:ascii="Calibri" w:cs="Calibri" w:eastAsia="Calibri" w:hAnsi="Calibri"/>
          <w:color w:val="9CA3AF"/>
          <w:sz w:val="20"/>
          <w:szCs w:val="20"/>
        </w:rPr>
        <w:t xml:space="preserve">	Columbus, OH</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Verify 350+ medication orders daily for accuracy, appropriateness, and patient safety across acute care units.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Conduct anticoagulation and pharmacokinetic dosing consultations, reducing adverse drug events by 18%.</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Participate in interdisciplinary rounds on cardiology and ICU floors, providing clinical recommendations.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implementation of a pharmacist-driven medication reconciliation program, reducing discrepancies by 32%.</w:t>
      </w:r>
    </w:p>
    <w:p>
      <w:pPr>
        <w:tabs>
          <w:tab w:val="right" w:pos="8640"/>
        </w:tabs>
        <w:spacing w:after="20" w:before="100"/>
      </w:pPr>
      <w:r>
        <w:rPr>
          <w:rFonts w:ascii="Calibri" w:cs="Calibri" w:eastAsia="Calibri" w:hAnsi="Calibri"/>
          <w:b/>
          <w:bCs/>
          <w:color w:val="111827"/>
          <w:sz w:val="22"/>
          <w:szCs w:val="22"/>
        </w:rPr>
        <w:t xml:space="preserve">Retail Pharmacist</w:t>
      </w:r>
      <w:r>
        <w:rPr>
          <w:rFonts w:ascii="Calibri" w:cs="Calibri" w:eastAsia="Calibri" w:hAnsi="Calibri"/>
          <w:i/>
          <w:iCs/>
          <w:color w:val="6B7280"/>
          <w:sz w:val="20"/>
          <w:szCs w:val="20"/>
        </w:rPr>
        <w:t xml:space="preserve">	Jun 2018 – Aug 2020</w:t>
      </w:r>
    </w:p>
    <w:p>
      <w:pPr>
        <w:tabs>
          <w:tab w:val="right" w:pos="8640"/>
        </w:tabs>
        <w:spacing w:after="60" w:before="0"/>
      </w:pPr>
      <w:r>
        <w:rPr>
          <w:rFonts w:ascii="Calibri" w:cs="Calibri" w:eastAsia="Calibri" w:hAnsi="Calibri"/>
          <w:b w:val="false"/>
          <w:bCs w:val="false"/>
          <w:i/>
          <w:iCs/>
          <w:color w:val="047857"/>
          <w:sz w:val="20"/>
          <w:szCs w:val="20"/>
        </w:rPr>
        <w:t xml:space="preserve">MedPlus Pharmacy</w:t>
      </w:r>
      <w:r>
        <w:rPr>
          <w:rFonts w:ascii="Calibri" w:cs="Calibri" w:eastAsia="Calibri" w:hAnsi="Calibri"/>
          <w:color w:val="9CA3AF"/>
          <w:sz w:val="20"/>
          <w:szCs w:val="20"/>
        </w:rPr>
        <w:t xml:space="preserve">	Cincinnati, OH</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Dispensed and verified 300+ prescriptions daily while counseling patients on drug interactions and adherence.</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Administered immunizations including flu, COVID, shingles, and pneumococcal vaccines.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Mentored 3 pharmacy technicians and 2 intern pharmacists, improving team performance and accuracy rates.</w:t>
      </w:r>
    </w:p>
    <w:p>
      <w:pPr>
        <w:pBdr>
          <w:bottom w:val="single" w:color="6EE7B7" w:sz="8"/>
        </w:pBdr>
        <w:spacing w:after="60" w:before="160"/>
      </w:pPr>
      <w:r>
        <w:rPr>
          <w:rFonts w:ascii="Calibri" w:cs="Calibri" w:eastAsia="Calibri" w:hAnsi="Calibri"/>
          <w:b/>
          <w:bCs/>
          <w:color w:val="064E3B"/>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Pharm.D.</w:t>
      </w:r>
      <w:r>
        <w:rPr>
          <w:rFonts w:ascii="Calibri" w:cs="Calibri" w:eastAsia="Calibri" w:hAnsi="Calibri"/>
          <w:color w:val="6B7280"/>
          <w:sz w:val="20"/>
          <w:szCs w:val="20"/>
        </w:rPr>
        <w:t xml:space="preserve">	2018</w:t>
      </w:r>
    </w:p>
    <w:p>
      <w:pPr>
        <w:spacing w:after="40" w:before="0"/>
      </w:pPr>
      <w:r>
        <w:rPr>
          <w:rFonts w:ascii="Calibri" w:cs="Calibri" w:eastAsia="Calibri" w:hAnsi="Calibri"/>
          <w:i/>
          <w:iCs/>
          <w:color w:val="047857"/>
          <w:sz w:val="20"/>
          <w:szCs w:val="20"/>
        </w:rPr>
        <w:t xml:space="preserve">Ohio State University College of Pharmacy</w:t>
      </w:r>
    </w:p>
    <w:p>
      <w:pPr>
        <w:pBdr>
          <w:bottom w:val="single" w:color="6EE7B7" w:sz="8"/>
        </w:pBdr>
        <w:spacing w:after="60" w:before="160"/>
      </w:pPr>
      <w:r>
        <w:rPr>
          <w:rFonts w:ascii="Calibri" w:cs="Calibri" w:eastAsia="Calibri" w:hAnsi="Calibri"/>
          <w:b/>
          <w:bCs/>
          <w:color w:val="064E3B"/>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Clinical</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Medication Therapy Management · Pharmacokinetics · Anticoagulation · MTM Counseling</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Technical</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Epic Willow · Pyxis · ScriptPro · Drug Utilization Review · IV Admixture</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Skills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Patient Counseling · Immunizations · Clinical Interventions · Staff Training</w:t>
            </w:r>
          </w:p>
        </w:tc>
      </w:tr>
    </w:tbl>
    <w:p>
      <w:pPr>
        <w:spacing w:after="60" w:before="0"/>
      </w:pPr>
    </w:p>
    <w:p>
      <w:pPr>
        <w:pBdr>
          <w:bottom w:val="single" w:color="6EE7B7" w:sz="8"/>
        </w:pBdr>
        <w:spacing w:after="60" w:before="160"/>
      </w:pPr>
      <w:r>
        <w:rPr>
          <w:rFonts w:ascii="Calibri" w:cs="Calibri" w:eastAsia="Calibri" w:hAnsi="Calibri"/>
          <w:b/>
          <w:bCs/>
          <w:color w:val="064E3B"/>
          <w:sz w:val="22"/>
          <w:szCs w:val="22"/>
        </w:rPr>
        <w:t xml:space="preserve">CERTIFICATIONS &amp; CREDENTIALS</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Ohio State Pharmacy License</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APhA Immunization Certification</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BLS Certified</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CPE Monitor Verified</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2026-04-20T16:49:28.941Z</dcterms:created>
  <dcterms:modified xsi:type="dcterms:W3CDTF">2026-04-20T16:49:28.941Z</dcterms:modified>
</cp:coreProperties>
</file>

<file path=docProps/custom.xml><?xml version="1.0" encoding="utf-8"?>
<Properties xmlns="http://schemas.openxmlformats.org/officeDocument/2006/custom-properties" xmlns:vt="http://schemas.openxmlformats.org/officeDocument/2006/docPropsVTypes"/>
</file>