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172A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8FAFC"/>
          <w:sz w:val="52"/>
          <w:szCs w:val="52"/>
        </w:rPr>
        <w:t xml:space="preserve">Michelle Spark</w:t>
      </w:r>
    </w:p>
    <w:p>
      <w:pPr>
        <w:shd w:fill="0F172A" w:val="clear"/>
        <w:spacing w:after="0" w:before="0"/>
        <w:jc w:val="center"/>
      </w:pPr>
      <w:r>
        <w:rPr>
          <w:rFonts w:ascii="Calibri" w:cs="Calibri" w:eastAsia="Calibri" w:hAnsi="Calibri"/>
          <w:color w:val="F8FAFC"/>
          <w:sz w:val="24"/>
          <w:szCs w:val="24"/>
        </w:rPr>
        <w:t xml:space="preserve">Mid-Level Physician – Internal Medicine</w:t>
      </w:r>
    </w:p>
    <w:p>
      <w:pPr>
        <w:shd w:fill="0F172A" w:val="clear"/>
        <w:spacing w:after="120" w:before="60"/>
        <w:jc w:val="center"/>
      </w:pPr>
      <w:r>
        <w:rPr>
          <w:rFonts w:ascii="Calibri" w:cs="Calibri" w:eastAsia="Calibri" w:hAnsi="Calibri"/>
          <w:color w:val="F8FAFC"/>
          <w:sz w:val="18"/>
          <w:szCs w:val="18"/>
        </w:rPr>
        <w:t xml:space="preserve">spark@email.com  ·  (555) 201-4416  ·  linkedin.com/in/spark  ·  Houston, TX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Board-certified Internal Medicine Physician with 6 years of clinical experience delivering high-quality, patient-centered care in outpatient and inpatient settings. Skilled in complex chronic disease management, evidence-based medicine, and interdisciplinary collaboration. Committed to improving population health outcomes and patient satisfaction.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Attending Physician – Internal Medicine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369A1"/>
          <w:sz w:val="20"/>
          <w:szCs w:val="20"/>
        </w:rPr>
        <w:t xml:space="preserve">Houston Medical Center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Houston,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 a panel of 1,800+ patients with complex comorbidities including diabetes, hypertension, and heart failure.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Achieved top-quartile patient satisfaction scores (96th percentile HCAHPS) for 3 consecutive years.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30-day hospital readmission rates by 18% through care coordination and patient education initiatives.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Supervise and mentor 2 medical residents and 3 PA students on clinical rotations.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Serve on the Quality Improvement Committee, leading an initiative that reduced medication errors by 30%.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Internal Medicine Resident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2017 – Jun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369A1"/>
          <w:sz w:val="20"/>
          <w:szCs w:val="20"/>
        </w:rPr>
        <w:t xml:space="preserve">Texas Medical Center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Houston,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Completed 3-year ACGME-accredited residency in Internal Medicine, managing 12–18 inpatients per rotation.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Published research on hypertension management outcomes in the Journal of General Internal Medicine.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Chief Resident in final year, coordinating scheduling and educational programming for 24 residents.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Doctor of Medicine (M.D.)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2017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0369A1"/>
          <w:sz w:val="20"/>
          <w:szCs w:val="20"/>
        </w:rPr>
        <w:t xml:space="preserve">Baylor College of Medicine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Biology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2013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0369A1"/>
          <w:sz w:val="20"/>
          <w:szCs w:val="20"/>
        </w:rPr>
        <w:t xml:space="preserve">Rice University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C4A6E"/>
                <w:sz w:val="20"/>
                <w:szCs w:val="20"/>
              </w:rPr>
              <w:t xml:space="preserve">Clinical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Internal Medicine · Chronic Disease Management · Preventive Care · Inpatient Medicine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C4A6E"/>
                <w:sz w:val="20"/>
                <w:szCs w:val="20"/>
              </w:rPr>
              <w:t xml:space="preserve">Technical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Epic EMR · Diagnostic Imaging Interpretation · Echocardiography · Spirometry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C4A6E"/>
                <w:sz w:val="20"/>
                <w:szCs w:val="20"/>
              </w:rPr>
              <w:t xml:space="preserve">Leadership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Quality Improvement · Medical Education · Care Coordination · Patient Advocacy</w:t>
            </w:r>
          </w:p>
        </w:tc>
      </w:tr>
    </w:tbl>
    <w:p>
      <w:pPr>
        <w:spacing w:after="60" w:before="0"/>
      </w:pP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0EA5E9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Board Certified – American Board of Internal Medicine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0EA5E9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DEA Licensed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0EA5E9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ACLS &amp; BLS Certified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2026-04-20T16:49:28.863Z</dcterms:created>
  <dcterms:modified xsi:type="dcterms:W3CDTF">2026-04-20T16:49:28.863Z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