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7B1D1D" w:val="clear"/>
        <w:spacing w:after="0" w:before="0"/>
        <w:jc w:val="center"/>
      </w:pPr>
      <w:r>
        <w:rPr>
          <w:rFonts w:ascii="Calibri" w:cs="Calibri" w:eastAsia="Calibri" w:hAnsi="Calibri"/>
          <w:b/>
          <w:bCs/>
          <w:color w:val="FFFFFF"/>
          <w:sz w:val="52"/>
          <w:szCs w:val="52"/>
        </w:rPr>
        <w:t xml:space="preserve">Michelle Spark</w:t>
      </w:r>
    </w:p>
    <w:p>
      <w:pPr>
        <w:shd w:fill="7B1D1D" w:val="clear"/>
        <w:spacing w:after="0" w:before="0"/>
        <w:jc w:val="center"/>
      </w:pPr>
      <w:r>
        <w:rPr>
          <w:rFonts w:ascii="Calibri" w:cs="Calibri" w:eastAsia="Calibri" w:hAnsi="Calibri"/>
          <w:color w:val="FFFFFF"/>
          <w:sz w:val="24"/>
          <w:szCs w:val="24"/>
        </w:rPr>
        <w:t xml:space="preserve">Mid-Level Actuary</w:t>
      </w:r>
    </w:p>
    <w:p>
      <w:pPr>
        <w:shd w:fill="7B1D1D" w:val="clear"/>
        <w:spacing w:after="120" w:before="60"/>
        <w:jc w:val="center"/>
      </w:pPr>
      <w:r>
        <w:rPr>
          <w:rFonts w:ascii="Calibri" w:cs="Calibri" w:eastAsia="Calibri" w:hAnsi="Calibri"/>
          <w:color w:val="FFFFFF"/>
          <w:sz w:val="18"/>
          <w:szCs w:val="18"/>
        </w:rPr>
        <w:t xml:space="preserve">spark@email.com  ·  (555) 201-4415  ·  linkedin.com/in/spark  ·  Hartford, CT</w:t>
      </w:r>
    </w:p>
    <w:p>
      <w:pPr>
        <w:pBdr>
          <w:bottom w:val="single" w:color="FCA5A5" w:sz="8"/>
        </w:pBdr>
        <w:spacing w:after="60" w:before="160"/>
      </w:pPr>
      <w:r>
        <w:rPr>
          <w:rFonts w:ascii="Calibri" w:cs="Calibri" w:eastAsia="Calibri" w:hAnsi="Calibri"/>
          <w:b/>
          <w:bCs/>
          <w:color w:val="7B1D1D"/>
          <w:sz w:val="22"/>
          <w:szCs w:val="22"/>
        </w:rPr>
        <w:t xml:space="preserve">PROFESSIONAL SUMMARY</w:t>
      </w:r>
    </w:p>
    <w:p>
      <w:pPr>
        <w:spacing w:after="60" w:before="60"/>
      </w:pPr>
      <w:r>
        <w:rPr>
          <w:rFonts w:ascii="Calibri" w:cs="Calibri" w:eastAsia="Calibri" w:hAnsi="Calibri"/>
          <w:color w:val="374151"/>
          <w:sz w:val="20"/>
          <w:szCs w:val="20"/>
        </w:rPr>
        <w:t xml:space="preserve">Associate Actuary (ACAS) with 7 years of experience in property &amp; casualty insurance pricing, reserving, and risk modeling. Highly proficient in statistical modeling, predictive analytics, and regulatory filing support. Recognized for developing innovative pricing models that improved loss ratio performance and drove profitable growth.</w:t>
      </w:r>
    </w:p>
    <w:p>
      <w:pPr>
        <w:pBdr>
          <w:bottom w:val="single" w:color="FCA5A5" w:sz="8"/>
        </w:pBdr>
        <w:spacing w:after="60" w:before="160"/>
      </w:pPr>
      <w:r>
        <w:rPr>
          <w:rFonts w:ascii="Calibri" w:cs="Calibri" w:eastAsia="Calibri" w:hAnsi="Calibri"/>
          <w:b/>
          <w:bCs/>
          <w:color w:val="7B1D1D"/>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Actuary II</w:t>
      </w:r>
      <w:r>
        <w:rPr>
          <w:rFonts w:ascii="Calibri" w:cs="Calibri" w:eastAsia="Calibri" w:hAnsi="Calibri"/>
          <w:i/>
          <w:iCs/>
          <w:color w:val="6B7280"/>
          <w:sz w:val="20"/>
          <w:szCs w:val="20"/>
        </w:rPr>
        <w:t xml:space="preserve">	Mar 2021 – Present</w:t>
      </w:r>
    </w:p>
    <w:p>
      <w:pPr>
        <w:tabs>
          <w:tab w:val="right" w:pos="8640"/>
        </w:tabs>
        <w:spacing w:after="60" w:before="0"/>
      </w:pPr>
      <w:r>
        <w:rPr>
          <w:rFonts w:ascii="Calibri" w:cs="Calibri" w:eastAsia="Calibri" w:hAnsi="Calibri"/>
          <w:b w:val="false"/>
          <w:bCs w:val="false"/>
          <w:i/>
          <w:iCs/>
          <w:color w:val="991B1B"/>
          <w:sz w:val="20"/>
          <w:szCs w:val="20"/>
        </w:rPr>
        <w:t xml:space="preserve">Atlantic Mutual Insurance</w:t>
      </w:r>
      <w:r>
        <w:rPr>
          <w:rFonts w:ascii="Calibri" w:cs="Calibri" w:eastAsia="Calibri" w:hAnsi="Calibri"/>
          <w:color w:val="9CA3AF"/>
          <w:sz w:val="20"/>
          <w:szCs w:val="20"/>
        </w:rPr>
        <w:t xml:space="preserve">	Hartford, CT</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commercial auto pricing review affecting $120M in premium, achieving a 4% improvement in combined ratio.</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GLM-based predictive pricing model improving risk segmentation accuracy by 22%.</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quarterly reserve analyses for 5 lines of business, presenting findings to senior leadership and regulators.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Mentored 2 actuarial students, supporting their exam preparation and professional development.</w:t>
      </w:r>
    </w:p>
    <w:p>
      <w:pPr>
        <w:tabs>
          <w:tab w:val="right" w:pos="8640"/>
        </w:tabs>
        <w:spacing w:after="20" w:before="100"/>
      </w:pPr>
      <w:r>
        <w:rPr>
          <w:rFonts w:ascii="Calibri" w:cs="Calibri" w:eastAsia="Calibri" w:hAnsi="Calibri"/>
          <w:b/>
          <w:bCs/>
          <w:color w:val="111827"/>
          <w:sz w:val="22"/>
          <w:szCs w:val="22"/>
        </w:rPr>
        <w:t xml:space="preserve">Actuarial Analyst</w:t>
      </w:r>
      <w:r>
        <w:rPr>
          <w:rFonts w:ascii="Calibri" w:cs="Calibri" w:eastAsia="Calibri" w:hAnsi="Calibri"/>
          <w:i/>
          <w:iCs/>
          <w:color w:val="6B7280"/>
          <w:sz w:val="20"/>
          <w:szCs w:val="20"/>
        </w:rPr>
        <w:t xml:space="preserve">	Jul 2018 – Feb 2021</w:t>
      </w:r>
    </w:p>
    <w:p>
      <w:pPr>
        <w:tabs>
          <w:tab w:val="right" w:pos="8640"/>
        </w:tabs>
        <w:spacing w:after="60" w:before="0"/>
      </w:pPr>
      <w:r>
        <w:rPr>
          <w:rFonts w:ascii="Calibri" w:cs="Calibri" w:eastAsia="Calibri" w:hAnsi="Calibri"/>
          <w:b w:val="false"/>
          <w:bCs w:val="false"/>
          <w:i/>
          <w:iCs/>
          <w:color w:val="991B1B"/>
          <w:sz w:val="20"/>
          <w:szCs w:val="20"/>
        </w:rPr>
        <w:t xml:space="preserve">Northeast Casualty Group</w:t>
      </w:r>
      <w:r>
        <w:rPr>
          <w:rFonts w:ascii="Calibri" w:cs="Calibri" w:eastAsia="Calibri" w:hAnsi="Calibri"/>
          <w:color w:val="9CA3AF"/>
          <w:sz w:val="20"/>
          <w:szCs w:val="20"/>
        </w:rPr>
        <w:t xml:space="preserve">	New Haven, CT</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Performed loss reserve analyses using chain-ladder, Bornhuetter-Ferguson, and frequency/severity methods.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Supported rate filing submissions to 12 state insurance departments.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Programmed actuarial models in R and Excel VBA, automating analyses previously requiring 3 days of manual work.</w:t>
      </w:r>
    </w:p>
    <w:p>
      <w:pPr>
        <w:tabs>
          <w:tab w:val="right" w:pos="8640"/>
        </w:tabs>
        <w:spacing w:after="20" w:before="100"/>
      </w:pPr>
      <w:r>
        <w:rPr>
          <w:rFonts w:ascii="Calibri" w:cs="Calibri" w:eastAsia="Calibri" w:hAnsi="Calibri"/>
          <w:b/>
          <w:bCs/>
          <w:color w:val="111827"/>
          <w:sz w:val="22"/>
          <w:szCs w:val="22"/>
        </w:rPr>
        <w:t xml:space="preserve">Actuarial Intern</w:t>
      </w:r>
      <w:r>
        <w:rPr>
          <w:rFonts w:ascii="Calibri" w:cs="Calibri" w:eastAsia="Calibri" w:hAnsi="Calibri"/>
          <w:i/>
          <w:iCs/>
          <w:color w:val="6B7280"/>
          <w:sz w:val="20"/>
          <w:szCs w:val="20"/>
        </w:rPr>
        <w:t xml:space="preserve">	Jun 2017 – Jun 2018</w:t>
      </w:r>
    </w:p>
    <w:p>
      <w:pPr>
        <w:tabs>
          <w:tab w:val="right" w:pos="8640"/>
        </w:tabs>
        <w:spacing w:after="60" w:before="0"/>
      </w:pPr>
      <w:r>
        <w:rPr>
          <w:rFonts w:ascii="Calibri" w:cs="Calibri" w:eastAsia="Calibri" w:hAnsi="Calibri"/>
          <w:b w:val="false"/>
          <w:bCs w:val="false"/>
          <w:i/>
          <w:iCs/>
          <w:color w:val="991B1B"/>
          <w:sz w:val="20"/>
          <w:szCs w:val="20"/>
        </w:rPr>
        <w:t xml:space="preserve">Granite Re Partners</w:t>
      </w:r>
      <w:r>
        <w:rPr>
          <w:rFonts w:ascii="Calibri" w:cs="Calibri" w:eastAsia="Calibri" w:hAnsi="Calibri"/>
          <w:color w:val="9CA3AF"/>
          <w:sz w:val="20"/>
          <w:szCs w:val="20"/>
        </w:rPr>
        <w:t xml:space="preserve">	New York, NY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Assisted in catastrophe modeling and reinsurance pricing analyses using RMS and AIR platforms.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Completed 4 CAS actuarial exams while maintaining full-time academic workload.</w:t>
      </w:r>
    </w:p>
    <w:p>
      <w:pPr>
        <w:pBdr>
          <w:bottom w:val="single" w:color="FCA5A5" w:sz="8"/>
        </w:pBdr>
        <w:spacing w:after="60" w:before="160"/>
      </w:pPr>
      <w:r>
        <w:rPr>
          <w:rFonts w:ascii="Calibri" w:cs="Calibri" w:eastAsia="Calibri" w:hAnsi="Calibri"/>
          <w:b/>
          <w:bCs/>
          <w:color w:val="7B1D1D"/>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B.S. Actuarial Science</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991B1B"/>
          <w:sz w:val="20"/>
          <w:szCs w:val="20"/>
        </w:rPr>
        <w:t xml:space="preserve">University of Connecticut</w:t>
      </w:r>
    </w:p>
    <w:p>
      <w:pPr>
        <w:pBdr>
          <w:bottom w:val="single" w:color="FCA5A5" w:sz="8"/>
        </w:pBdr>
        <w:spacing w:after="60" w:before="160"/>
      </w:pPr>
      <w:r>
        <w:rPr>
          <w:rFonts w:ascii="Calibri" w:cs="Calibri" w:eastAsia="Calibri" w:hAnsi="Calibri"/>
          <w:b/>
          <w:bCs/>
          <w:color w:val="7B1D1D"/>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FEE2E2" w:val="clear"/>
            <w:tcMar>
              <w:top w:type="dxa" w:w="60"/>
              <w:left w:type="dxa" w:w="120"/>
              <w:bottom w:type="dxa" w:w="60"/>
              <w:right w:type="dxa" w:w="60"/>
            </w:tcMar>
          </w:tcPr>
          <w:p>
            <w:r>
              <w:rPr>
                <w:rFonts w:ascii="Calibri" w:cs="Calibri" w:eastAsia="Calibri" w:hAnsi="Calibri"/>
                <w:b/>
                <w:bCs/>
                <w:color w:val="7B1D1D"/>
                <w:sz w:val="20"/>
                <w:szCs w:val="20"/>
              </w:rPr>
              <w:t xml:space="preserve">Actuarial</w:t>
            </w:r>
          </w:p>
        </w:tc>
        <w:tc>
          <w:tcPr>
            <w:tcW w:type="dxa" w:w="7360"/>
            <w:tcBorders>
              <w:top w:val="none" w:color="FFFFFF" w:sz="0"/>
              <w:left w:val="none" w:color="FFFFFF" w:sz="0"/>
              <w:bottom w:val="none" w:color="FFFFFF" w:sz="0"/>
              <w:right w:val="none" w:color="FFFFFF" w:sz="0"/>
            </w:tcBorders>
            <w:shd w:fill="FEE2E2" w:val="clear"/>
            <w:tcMar>
              <w:top w:type="dxa" w:w="60"/>
              <w:left w:type="dxa" w:w="120"/>
              <w:bottom w:type="dxa" w:w="60"/>
              <w:right w:type="dxa" w:w="120"/>
            </w:tcMar>
          </w:tcPr>
          <w:p>
            <w:r>
              <w:rPr>
                <w:rFonts w:ascii="Calibri" w:cs="Calibri" w:eastAsia="Calibri" w:hAnsi="Calibri"/>
                <w:color w:val="374151"/>
                <w:sz w:val="20"/>
                <w:szCs w:val="20"/>
              </w:rPr>
              <w:t xml:space="preserve">Loss Reserving · Ratemaking · GLMs · Predictive Modeling · Catastrophe Modeling</w:t>
            </w:r>
          </w:p>
        </w:tc>
      </w:tr>
      <w:tr>
        <w:tc>
          <w:tcPr>
            <w:tcW w:type="dxa" w:w="2000"/>
            <w:tcBorders>
              <w:top w:val="none" w:color="FFFFFF" w:sz="0"/>
              <w:left w:val="none" w:color="FFFFFF" w:sz="0"/>
              <w:bottom w:val="none" w:color="FFFFFF" w:sz="0"/>
              <w:right w:val="none" w:color="FFFFFF" w:sz="0"/>
            </w:tcBorders>
            <w:shd w:fill="FEE2E2" w:val="clear"/>
            <w:tcMar>
              <w:top w:type="dxa" w:w="60"/>
              <w:left w:type="dxa" w:w="120"/>
              <w:bottom w:type="dxa" w:w="60"/>
              <w:right w:type="dxa" w:w="60"/>
            </w:tcMar>
          </w:tcPr>
          <w:p>
            <w:r>
              <w:rPr>
                <w:rFonts w:ascii="Calibri" w:cs="Calibri" w:eastAsia="Calibri" w:hAnsi="Calibri"/>
                <w:b/>
                <w:bCs/>
                <w:color w:val="7B1D1D"/>
                <w:sz w:val="20"/>
                <w:szCs w:val="20"/>
              </w:rPr>
              <w:t xml:space="preserve">Tools</w:t>
            </w:r>
          </w:p>
        </w:tc>
        <w:tc>
          <w:tcPr>
            <w:tcW w:type="dxa" w:w="7360"/>
            <w:tcBorders>
              <w:top w:val="none" w:color="FFFFFF" w:sz="0"/>
              <w:left w:val="none" w:color="FFFFFF" w:sz="0"/>
              <w:bottom w:val="none" w:color="FFFFFF" w:sz="0"/>
              <w:right w:val="none" w:color="FFFFFF" w:sz="0"/>
            </w:tcBorders>
            <w:shd w:fill="FEE2E2" w:val="clear"/>
            <w:tcMar>
              <w:top w:type="dxa" w:w="60"/>
              <w:left w:type="dxa" w:w="120"/>
              <w:bottom w:type="dxa" w:w="60"/>
              <w:right w:type="dxa" w:w="120"/>
            </w:tcMar>
          </w:tcPr>
          <w:p>
            <w:r>
              <w:rPr>
                <w:rFonts w:ascii="Calibri" w:cs="Calibri" w:eastAsia="Calibri" w:hAnsi="Calibri"/>
                <w:color w:val="374151"/>
                <w:sz w:val="20"/>
                <w:szCs w:val="20"/>
              </w:rPr>
              <w:t xml:space="preserve">R · SAS · Python · Excel/VBA · Emblem · ResQ</w:t>
            </w:r>
          </w:p>
        </w:tc>
      </w:tr>
      <w:tr>
        <w:tc>
          <w:tcPr>
            <w:tcW w:type="dxa" w:w="2000"/>
            <w:tcBorders>
              <w:top w:val="none" w:color="FFFFFF" w:sz="0"/>
              <w:left w:val="none" w:color="FFFFFF" w:sz="0"/>
              <w:bottom w:val="none" w:color="FFFFFF" w:sz="0"/>
              <w:right w:val="none" w:color="FFFFFF" w:sz="0"/>
            </w:tcBorders>
            <w:shd w:fill="FEE2E2" w:val="clear"/>
            <w:tcMar>
              <w:top w:type="dxa" w:w="60"/>
              <w:left w:type="dxa" w:w="120"/>
              <w:bottom w:type="dxa" w:w="60"/>
              <w:right w:type="dxa" w:w="60"/>
            </w:tcMar>
          </w:tcPr>
          <w:p>
            <w:r>
              <w:rPr>
                <w:rFonts w:ascii="Calibri" w:cs="Calibri" w:eastAsia="Calibri" w:hAnsi="Calibri"/>
                <w:b/>
                <w:bCs/>
                <w:color w:val="7B1D1D"/>
                <w:sz w:val="20"/>
                <w:szCs w:val="20"/>
              </w:rPr>
              <w:t xml:space="preserve">Lines</w:t>
            </w:r>
          </w:p>
        </w:tc>
        <w:tc>
          <w:tcPr>
            <w:tcW w:type="dxa" w:w="7360"/>
            <w:tcBorders>
              <w:top w:val="none" w:color="FFFFFF" w:sz="0"/>
              <w:left w:val="none" w:color="FFFFFF" w:sz="0"/>
              <w:bottom w:val="none" w:color="FFFFFF" w:sz="0"/>
              <w:right w:val="none" w:color="FFFFFF" w:sz="0"/>
            </w:tcBorders>
            <w:shd w:fill="FEE2E2" w:val="clear"/>
            <w:tcMar>
              <w:top w:type="dxa" w:w="60"/>
              <w:left w:type="dxa" w:w="120"/>
              <w:bottom w:type="dxa" w:w="60"/>
              <w:right w:type="dxa" w:w="120"/>
            </w:tcMar>
          </w:tcPr>
          <w:p>
            <w:r>
              <w:rPr>
                <w:rFonts w:ascii="Calibri" w:cs="Calibri" w:eastAsia="Calibri" w:hAnsi="Calibri"/>
                <w:color w:val="374151"/>
                <w:sz w:val="20"/>
                <w:szCs w:val="20"/>
              </w:rPr>
              <w:t xml:space="preserve">Commercial Auto · Workers Comp · General Liability · Property</w:t>
            </w:r>
          </w:p>
        </w:tc>
      </w:tr>
    </w:tbl>
    <w:p>
      <w:pPr>
        <w:spacing w:after="60" w:before="0"/>
      </w:pPr>
    </w:p>
    <w:p>
      <w:pPr>
        <w:pBdr>
          <w:bottom w:val="single" w:color="FCA5A5" w:sz="8"/>
        </w:pBdr>
        <w:spacing w:after="60" w:before="160"/>
      </w:pPr>
      <w:r>
        <w:rPr>
          <w:rFonts w:ascii="Calibri" w:cs="Calibri" w:eastAsia="Calibri" w:hAnsi="Calibri"/>
          <w:b/>
          <w:bCs/>
          <w:color w:val="7B1D1D"/>
          <w:sz w:val="22"/>
          <w:szCs w:val="22"/>
        </w:rPr>
        <w:t xml:space="preserve">CERTIFICATIONS &amp; CREDENTIALS</w:t>
      </w:r>
    </w:p>
    <w:p>
      <w:pPr>
        <w:spacing w:after="40" w:before="40"/>
        <w:ind w:left="240"/>
      </w:pPr>
      <w:r>
        <w:rPr>
          <w:rFonts w:ascii="Calibri" w:cs="Calibri" w:eastAsia="Calibri" w:hAnsi="Calibri"/>
          <w:color w:val="B91C1C"/>
          <w:sz w:val="20"/>
          <w:szCs w:val="20"/>
        </w:rPr>
        <w:t xml:space="preserve">✓  </w:t>
      </w:r>
      <w:r>
        <w:rPr>
          <w:rFonts w:ascii="Calibri" w:cs="Calibri" w:eastAsia="Calibri" w:hAnsi="Calibri"/>
          <w:color w:val="374151"/>
          <w:sz w:val="20"/>
          <w:szCs w:val="20"/>
        </w:rPr>
        <w:t xml:space="preserve">ACAS – Associate, Casualty Actuarial Society (7 exams passed)</w:t>
      </w:r>
    </w:p>
    <w:p>
      <w:pPr>
        <w:spacing w:after="40" w:before="40"/>
        <w:ind w:left="240"/>
      </w:pPr>
      <w:r>
        <w:rPr>
          <w:rFonts w:ascii="Calibri" w:cs="Calibri" w:eastAsia="Calibri" w:hAnsi="Calibri"/>
          <w:color w:val="B91C1C"/>
          <w:sz w:val="20"/>
          <w:szCs w:val="20"/>
        </w:rPr>
        <w:t xml:space="preserve">✓  </w:t>
      </w:r>
      <w:r>
        <w:rPr>
          <w:rFonts w:ascii="Calibri" w:cs="Calibri" w:eastAsia="Calibri" w:hAnsi="Calibri"/>
          <w:color w:val="374151"/>
          <w:sz w:val="20"/>
          <w:szCs w:val="20"/>
        </w:rPr>
        <w:t xml:space="preserve">CAS Exam 8 &amp; 9 in progress</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2026-04-20T16:49:28.845Z</dcterms:created>
  <dcterms:modified xsi:type="dcterms:W3CDTF">2026-04-20T16:49:28.845Z</dcterms:modified>
</cp:coreProperties>
</file>

<file path=docProps/custom.xml><?xml version="1.0" encoding="utf-8"?>
<Properties xmlns="http://schemas.openxmlformats.org/officeDocument/2006/custom-properties" xmlns:vt="http://schemas.openxmlformats.org/officeDocument/2006/docPropsVTypes"/>
</file>