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65F46" w:val="clear"/>
        <w:spacing w:after="0" w:before="0"/>
        <w:jc w:val="center"/>
      </w:pPr>
      <w:r>
        <w:rPr>
          <w:rFonts w:ascii="Calibri" w:cs="Calibri" w:eastAsia="Calibri" w:hAnsi="Calibri"/>
          <w:b/>
          <w:bCs/>
          <w:color w:val="FFFFFF"/>
          <w:sz w:val="52"/>
          <w:szCs w:val="52"/>
        </w:rPr>
        <w:t xml:space="preserve">Michael Spark</w:t>
      </w:r>
    </w:p>
    <w:p>
      <w:pPr>
        <w:shd w:fill="065F46" w:val="clear"/>
        <w:spacing w:after="0" w:before="0"/>
        <w:jc w:val="center"/>
      </w:pPr>
      <w:r>
        <w:rPr>
          <w:rFonts w:ascii="Calibri" w:cs="Calibri" w:eastAsia="Calibri" w:hAnsi="Calibri"/>
          <w:color w:val="FFFFFF"/>
          <w:sz w:val="24"/>
          <w:szCs w:val="24"/>
        </w:rPr>
        <w:t xml:space="preserve">Mid-Level Market Research Analyst</w:t>
      </w:r>
    </w:p>
    <w:p>
      <w:pPr>
        <w:shd w:fill="065F46" w:val="clear"/>
        <w:spacing w:after="120" w:before="60"/>
        <w:jc w:val="center"/>
      </w:pPr>
      <w:r>
        <w:rPr>
          <w:rFonts w:ascii="Calibri" w:cs="Calibri" w:eastAsia="Calibri" w:hAnsi="Calibri"/>
          <w:color w:val="FFFFFF"/>
          <w:sz w:val="18"/>
          <w:szCs w:val="18"/>
        </w:rPr>
        <w:t xml:space="preserve">spark@email.com  ·  (555) 201-4414  ·  linkedin.com/in/spark  ·  Chicago, IL</w:t>
      </w:r>
    </w:p>
    <w:p>
      <w:pPr>
        <w:pBdr>
          <w:bottom w:val="single" w:color="6EE7B7" w:sz="8"/>
        </w:pBdr>
        <w:spacing w:after="60" w:before="160"/>
      </w:pPr>
      <w:r>
        <w:rPr>
          <w:rFonts w:ascii="Calibri" w:cs="Calibri" w:eastAsia="Calibri" w:hAnsi="Calibri"/>
          <w:b/>
          <w:bCs/>
          <w:color w:val="064E3B"/>
          <w:sz w:val="22"/>
          <w:szCs w:val="22"/>
        </w:rPr>
        <w:t xml:space="preserve">PROFESSIONAL SUMMARY</w:t>
      </w:r>
    </w:p>
    <w:p>
      <w:pPr>
        <w:spacing w:after="60" w:before="60"/>
      </w:pPr>
      <w:r>
        <w:rPr>
          <w:rFonts w:ascii="Calibri" w:cs="Calibri" w:eastAsia="Calibri" w:hAnsi="Calibri"/>
          <w:color w:val="374151"/>
          <w:sz w:val="20"/>
          <w:szCs w:val="20"/>
        </w:rPr>
        <w:t xml:space="preserve">Insightful Market Research Analyst with 6 years of experience designing research programs, analyzing consumer behavior, and translating data into strategic recommendations. Proficient in both quantitative and qualitative research methodologies. Track record of delivering research insights that directly influenced product launches and marketing strategy for B2C and B2B clients.</w:t>
      </w:r>
    </w:p>
    <w:p>
      <w:pPr>
        <w:pBdr>
          <w:bottom w:val="single" w:color="6EE7B7" w:sz="8"/>
        </w:pBdr>
        <w:spacing w:after="60" w:before="160"/>
      </w:pPr>
      <w:r>
        <w:rPr>
          <w:rFonts w:ascii="Calibri" w:cs="Calibri" w:eastAsia="Calibri" w:hAnsi="Calibri"/>
          <w:b/>
          <w:bCs/>
          <w:color w:val="064E3B"/>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Market Research Analyst II</w:t>
      </w:r>
      <w:r>
        <w:rPr>
          <w:rFonts w:ascii="Calibri" w:cs="Calibri" w:eastAsia="Calibri" w:hAnsi="Calibri"/>
          <w:i/>
          <w:iCs/>
          <w:color w:val="6B7280"/>
          <w:sz w:val="20"/>
          <w:szCs w:val="20"/>
        </w:rPr>
        <w:t xml:space="preserve">	Apr 2021 – Present</w:t>
      </w:r>
    </w:p>
    <w:p>
      <w:pPr>
        <w:tabs>
          <w:tab w:val="right" w:pos="8640"/>
        </w:tabs>
        <w:spacing w:after="60" w:before="0"/>
      </w:pPr>
      <w:r>
        <w:rPr>
          <w:rFonts w:ascii="Calibri" w:cs="Calibri" w:eastAsia="Calibri" w:hAnsi="Calibri"/>
          <w:b w:val="false"/>
          <w:bCs w:val="false"/>
          <w:i/>
          <w:iCs/>
          <w:color w:val="047857"/>
          <w:sz w:val="20"/>
          <w:szCs w:val="20"/>
        </w:rPr>
        <w:t xml:space="preserve">Insights Edge Consulting</w:t>
      </w:r>
      <w:r>
        <w:rPr>
          <w:rFonts w:ascii="Calibri" w:cs="Calibri" w:eastAsia="Calibri" w:hAnsi="Calibri"/>
          <w:color w:val="9CA3AF"/>
          <w:sz w:val="20"/>
          <w:szCs w:val="20"/>
        </w:rPr>
        <w:t xml:space="preserve">	Chicago, IL</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Designed and executed 20+ quantitative and qualitative research studies across CPG, technology, and healthcare.</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research panels of 5,000+ respondents, maintaining quality standards ensuring statistical reliability.</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Delivered insights that informed a successful $30M product launch, contributing to 120% of Year 1 sales targets.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Synthesized syndicated data from Nielsen, Mintel, and Euromonitor into monthly market intelligence briefings.</w:t>
      </w:r>
    </w:p>
    <w:p>
      <w:pPr>
        <w:tabs>
          <w:tab w:val="right" w:pos="8640"/>
        </w:tabs>
        <w:spacing w:after="20" w:before="100"/>
      </w:pPr>
      <w:r>
        <w:rPr>
          <w:rFonts w:ascii="Calibri" w:cs="Calibri" w:eastAsia="Calibri" w:hAnsi="Calibri"/>
          <w:b/>
          <w:bCs/>
          <w:color w:val="111827"/>
          <w:sz w:val="22"/>
          <w:szCs w:val="22"/>
        </w:rPr>
        <w:t xml:space="preserve">Market Research Analyst I</w:t>
      </w:r>
      <w:r>
        <w:rPr>
          <w:rFonts w:ascii="Calibri" w:cs="Calibri" w:eastAsia="Calibri" w:hAnsi="Calibri"/>
          <w:i/>
          <w:iCs/>
          <w:color w:val="6B7280"/>
          <w:sz w:val="20"/>
          <w:szCs w:val="20"/>
        </w:rPr>
        <w:t xml:space="preserve">	Jun 2019 – Mar 2021</w:t>
      </w:r>
    </w:p>
    <w:p>
      <w:pPr>
        <w:tabs>
          <w:tab w:val="right" w:pos="8640"/>
        </w:tabs>
        <w:spacing w:after="60" w:before="0"/>
      </w:pPr>
      <w:r>
        <w:rPr>
          <w:rFonts w:ascii="Calibri" w:cs="Calibri" w:eastAsia="Calibri" w:hAnsi="Calibri"/>
          <w:b w:val="false"/>
          <w:bCs w:val="false"/>
          <w:i/>
          <w:iCs/>
          <w:color w:val="047857"/>
          <w:sz w:val="20"/>
          <w:szCs w:val="20"/>
        </w:rPr>
        <w:t xml:space="preserve">Pinnacle Research Group</w:t>
      </w:r>
      <w:r>
        <w:rPr>
          <w:rFonts w:ascii="Calibri" w:cs="Calibri" w:eastAsia="Calibri" w:hAnsi="Calibri"/>
          <w:color w:val="9CA3AF"/>
          <w:sz w:val="20"/>
          <w:szCs w:val="20"/>
        </w:rPr>
        <w:t xml:space="preserve">	Evanston, IL</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Conducted focus groups, IDIs, and online surveys, analyzing findings with SPSS and Qualtrics.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Developed competitive landscape analyses for 8 major client brands, identifying key whitespace opportunities.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Prepared research reports and executive presentations communicating complex insights to non-technical audiences.</w:t>
      </w:r>
    </w:p>
    <w:p>
      <w:pPr>
        <w:tabs>
          <w:tab w:val="right" w:pos="8640"/>
        </w:tabs>
        <w:spacing w:after="20" w:before="100"/>
      </w:pPr>
      <w:r>
        <w:rPr>
          <w:rFonts w:ascii="Calibri" w:cs="Calibri" w:eastAsia="Calibri" w:hAnsi="Calibri"/>
          <w:b/>
          <w:bCs/>
          <w:color w:val="111827"/>
          <w:sz w:val="22"/>
          <w:szCs w:val="22"/>
        </w:rPr>
        <w:t xml:space="preserve">Research Assistant</w:t>
      </w:r>
      <w:r>
        <w:rPr>
          <w:rFonts w:ascii="Calibri" w:cs="Calibri" w:eastAsia="Calibri" w:hAnsi="Calibri"/>
          <w:i/>
          <w:iCs/>
          <w:color w:val="6B7280"/>
          <w:sz w:val="20"/>
          <w:szCs w:val="20"/>
        </w:rPr>
        <w:t xml:space="preserve">	Aug 2018 – May 2019</w:t>
      </w:r>
    </w:p>
    <w:p>
      <w:pPr>
        <w:tabs>
          <w:tab w:val="right" w:pos="8640"/>
        </w:tabs>
        <w:spacing w:after="60" w:before="0"/>
      </w:pPr>
      <w:r>
        <w:rPr>
          <w:rFonts w:ascii="Calibri" w:cs="Calibri" w:eastAsia="Calibri" w:hAnsi="Calibri"/>
          <w:b w:val="false"/>
          <w:bCs w:val="false"/>
          <w:i/>
          <w:iCs/>
          <w:color w:val="047857"/>
          <w:sz w:val="20"/>
          <w:szCs w:val="20"/>
        </w:rPr>
        <w:t xml:space="preserve">Market Pulse Inc.</w:t>
      </w:r>
      <w:r>
        <w:rPr>
          <w:rFonts w:ascii="Calibri" w:cs="Calibri" w:eastAsia="Calibri" w:hAnsi="Calibri"/>
          <w:color w:val="9CA3AF"/>
          <w:sz w:val="20"/>
          <w:szCs w:val="20"/>
        </w:rPr>
        <w:t xml:space="preserve">	Chicago, IL</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Supported primary research projects through data collection, survey programming, and initial analysis.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Maintained research databases and ensured data integrity across projects.</w:t>
      </w:r>
    </w:p>
    <w:p>
      <w:pPr>
        <w:pBdr>
          <w:bottom w:val="single" w:color="6EE7B7" w:sz="8"/>
        </w:pBdr>
        <w:spacing w:after="60" w:before="160"/>
      </w:pPr>
      <w:r>
        <w:rPr>
          <w:rFonts w:ascii="Calibri" w:cs="Calibri" w:eastAsia="Calibri" w:hAnsi="Calibri"/>
          <w:b/>
          <w:bCs/>
          <w:color w:val="064E3B"/>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B.S. Marketing</w:t>
      </w:r>
      <w:r>
        <w:rPr>
          <w:rFonts w:ascii="Calibri" w:cs="Calibri" w:eastAsia="Calibri" w:hAnsi="Calibri"/>
          <w:color w:val="6B7280"/>
          <w:sz w:val="20"/>
          <w:szCs w:val="20"/>
        </w:rPr>
        <w:t xml:space="preserve">	2018</w:t>
      </w:r>
    </w:p>
    <w:p>
      <w:pPr>
        <w:spacing w:after="40" w:before="0"/>
      </w:pPr>
      <w:r>
        <w:rPr>
          <w:rFonts w:ascii="Calibri" w:cs="Calibri" w:eastAsia="Calibri" w:hAnsi="Calibri"/>
          <w:i/>
          <w:iCs/>
          <w:color w:val="047857"/>
          <w:sz w:val="20"/>
          <w:szCs w:val="20"/>
        </w:rPr>
        <w:t xml:space="preserve">DePaul University</w:t>
      </w:r>
    </w:p>
    <w:p>
      <w:pPr>
        <w:pBdr>
          <w:bottom w:val="single" w:color="6EE7B7" w:sz="8"/>
        </w:pBdr>
        <w:spacing w:after="60" w:before="160"/>
      </w:pPr>
      <w:r>
        <w:rPr>
          <w:rFonts w:ascii="Calibri" w:cs="Calibri" w:eastAsia="Calibri" w:hAnsi="Calibri"/>
          <w:b/>
          <w:bCs/>
          <w:color w:val="064E3B"/>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Research</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Survey Design · Focus Groups · IDIs · Conjoint Analysis · Segmentation</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Tools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Qualtrics · SPSS · Tableau · SAS · Nielsen · Mintel</w:t>
            </w:r>
          </w:p>
        </w:tc>
      </w:tr>
      <w:tr>
        <w:tc>
          <w:tcPr>
            <w:tcW w:type="dxa" w:w="2000"/>
            <w:tcBorders>
              <w:top w:val="none" w:color="FFFFFF" w:sz="0"/>
              <w:left w:val="none" w:color="FFFFFF" w:sz="0"/>
              <w:bottom w:val="none" w:color="FFFFFF" w:sz="0"/>
              <w:right w:val="none" w:color="FFFFFF" w:sz="0"/>
            </w:tcBorders>
            <w:shd w:fill="D1FAE5" w:val="clear"/>
            <w:tcMar>
              <w:top w:type="dxa" w:w="60"/>
              <w:left w:type="dxa" w:w="120"/>
              <w:bottom w:type="dxa" w:w="60"/>
              <w:right w:type="dxa" w:w="60"/>
            </w:tcMar>
          </w:tcPr>
          <w:p>
            <w:r>
              <w:rPr>
                <w:rFonts w:ascii="Calibri" w:cs="Calibri" w:eastAsia="Calibri" w:hAnsi="Calibri"/>
                <w:b/>
                <w:bCs/>
                <w:color w:val="064E3B"/>
                <w:sz w:val="20"/>
                <w:szCs w:val="20"/>
              </w:rPr>
              <w:t xml:space="preserve">Skills</w:t>
            </w:r>
          </w:p>
        </w:tc>
        <w:tc>
          <w:tcPr>
            <w:tcW w:type="dxa" w:w="7360"/>
            <w:tcBorders>
              <w:top w:val="none" w:color="FFFFFF" w:sz="0"/>
              <w:left w:val="none" w:color="FFFFFF" w:sz="0"/>
              <w:bottom w:val="none" w:color="FFFFFF" w:sz="0"/>
              <w:right w:val="none" w:color="FFFFFF" w:sz="0"/>
            </w:tcBorders>
            <w:shd w:fill="D1FAE5" w:val="clear"/>
            <w:tcMar>
              <w:top w:type="dxa" w:w="60"/>
              <w:left w:type="dxa" w:w="120"/>
              <w:bottom w:type="dxa" w:w="60"/>
              <w:right w:type="dxa" w:w="120"/>
            </w:tcMar>
          </w:tcPr>
          <w:p>
            <w:r>
              <w:rPr>
                <w:rFonts w:ascii="Calibri" w:cs="Calibri" w:eastAsia="Calibri" w:hAnsi="Calibri"/>
                <w:color w:val="374151"/>
                <w:sz w:val="20"/>
                <w:szCs w:val="20"/>
              </w:rPr>
              <w:t xml:space="preserve">Statistical Analysis · Data Visualization · Report Writing · Competitive Analysis</w:t>
            </w:r>
          </w:p>
        </w:tc>
      </w:tr>
    </w:tbl>
    <w:p>
      <w:pPr>
        <w:spacing w:after="60" w:before="0"/>
      </w:pPr>
    </w:p>
    <w:p>
      <w:pPr>
        <w:pBdr>
          <w:bottom w:val="single" w:color="6EE7B7" w:sz="8"/>
        </w:pBdr>
        <w:spacing w:after="60" w:before="160"/>
      </w:pPr>
      <w:r>
        <w:rPr>
          <w:rFonts w:ascii="Calibri" w:cs="Calibri" w:eastAsia="Calibri" w:hAnsi="Calibri"/>
          <w:b/>
          <w:bCs/>
          <w:color w:val="064E3B"/>
          <w:sz w:val="22"/>
          <w:szCs w:val="22"/>
        </w:rPr>
        <w:t xml:space="preserve">CERTIFICATIONS &amp; CREDENTIALS</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Market Research Association – PRC (Professional Researcher Certification)</w:t>
      </w:r>
    </w:p>
    <w:p>
      <w:pPr>
        <w:spacing w:after="40" w:before="40"/>
        <w:ind w:left="240"/>
      </w:pPr>
      <w:r>
        <w:rPr>
          <w:rFonts w:ascii="Calibri" w:cs="Calibri" w:eastAsia="Calibri" w:hAnsi="Calibri"/>
          <w:color w:val="059669"/>
          <w:sz w:val="20"/>
          <w:szCs w:val="20"/>
        </w:rPr>
        <w:t xml:space="preserve">✓  </w:t>
      </w:r>
      <w:r>
        <w:rPr>
          <w:rFonts w:ascii="Calibri" w:cs="Calibri" w:eastAsia="Calibri" w:hAnsi="Calibri"/>
          <w:color w:val="374151"/>
          <w:sz w:val="20"/>
          <w:szCs w:val="20"/>
        </w:rPr>
        <w:t xml:space="preserve">Google Analytics Certified</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2026-04-20T16:49:28.825Z</dcterms:created>
  <dcterms:modified xsi:type="dcterms:W3CDTF">2026-04-20T16:49:28.825Z</dcterms:modified>
</cp:coreProperties>
</file>

<file path=docProps/custom.xml><?xml version="1.0" encoding="utf-8"?>
<Properties xmlns="http://schemas.openxmlformats.org/officeDocument/2006/custom-properties" xmlns:vt="http://schemas.openxmlformats.org/officeDocument/2006/docPropsVTypes"/>
</file>