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0F4C75" w:val="clear"/>
        <w:spacing w:after="0" w:before="0"/>
        <w:jc w:val="center"/>
      </w:pPr>
      <w:r>
        <w:rPr>
          <w:rFonts w:ascii="Calibri" w:cs="Calibri" w:eastAsia="Calibri" w:hAnsi="Calibri"/>
          <w:b/>
          <w:bCs/>
          <w:color w:val="FFFFFF"/>
          <w:sz w:val="52"/>
          <w:szCs w:val="52"/>
        </w:rPr>
        <w:t xml:space="preserve">Michael Spark</w:t>
      </w:r>
    </w:p>
    <w:p>
      <w:pPr>
        <w:shd w:fill="0F4C75" w:val="clear"/>
        <w:spacing w:after="0" w:before="0"/>
        <w:jc w:val="center"/>
      </w:pPr>
      <w:r>
        <w:rPr>
          <w:rFonts w:ascii="Calibri" w:cs="Calibri" w:eastAsia="Calibri" w:hAnsi="Calibri"/>
          <w:color w:val="FFFFFF"/>
          <w:sz w:val="24"/>
          <w:szCs w:val="24"/>
        </w:rPr>
        <w:t xml:space="preserve">Mid-Level Investment Banker</w:t>
      </w:r>
    </w:p>
    <w:p>
      <w:pPr>
        <w:shd w:fill="0F4C75" w:val="clear"/>
        <w:spacing w:after="120" w:before="60"/>
        <w:jc w:val="center"/>
      </w:pPr>
      <w:r>
        <w:rPr>
          <w:rFonts w:ascii="Calibri" w:cs="Calibri" w:eastAsia="Calibri" w:hAnsi="Calibri"/>
          <w:color w:val="FFFFFF"/>
          <w:sz w:val="18"/>
          <w:szCs w:val="18"/>
        </w:rPr>
        <w:t xml:space="preserve">spark@email.com  ·  (555) 201-4412  ·  linkedin.com/in/spark  ·  New York, NY</w:t>
      </w:r>
    </w:p>
    <w:p>
      <w:pPr>
        <w:pBdr>
          <w:bottom w:val="single" w:color="93C5F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F4C75"/>
          <w:sz w:val="22"/>
          <w:szCs w:val="22"/>
        </w:rPr>
        <w:t xml:space="preserve">PROFESSIONAL SUMMARY</w:t>
      </w:r>
    </w:p>
    <w:p>
      <w:pPr>
        <w:spacing w:after="60" w:before="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Transaction-driven Investment Banker with 6 years of experience executing M&amp;A, equity, and debt capital markets transactions. Proven ability to manage complex deal processes, develop sophisticated financial models, and advise clients across technology, healthcare, and consumer sectors. Executed on $4.5B+ in aggregate transaction value.</w:t>
      </w:r>
    </w:p>
    <w:p>
      <w:pPr>
        <w:pBdr>
          <w:bottom w:val="single" w:color="93C5F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F4C75"/>
          <w:sz w:val="22"/>
          <w:szCs w:val="22"/>
        </w:rPr>
        <w:t xml:space="preserve">PROFESSIONAL EXPERIENCE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Associate, Investment Banking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Jul 2021 – Present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2563EB"/>
          <w:sz w:val="20"/>
          <w:szCs w:val="20"/>
        </w:rPr>
        <w:t xml:space="preserve">Kensington Capital Group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New York, NY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Executed 8 M&amp;A transactions totaling $2.1B, including buy-side and sell-side mandates across technology.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Built LBO, DCF, and comparable company/transaction analysis models underpinning deal valuations.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Managed due diligence processes coordinating legal, accounting, and operational workstreams across 40+ parties.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Prepared pitch books and CIMs that secured 5 new client engagements with aggregate fees of $12M.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Analyst, Investment Banking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Jun 2018 – Jun 2021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2563EB"/>
          <w:sz w:val="20"/>
          <w:szCs w:val="20"/>
        </w:rPr>
        <w:t xml:space="preserve">Meridian Investment Bank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New York, NY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Supported senior bankers on 12+ live deal engagements across M&amp;A, IPO, and high-yield debt offerings.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Developed financial models and industry analyses used in board-level strategic discussions.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Coordinated across legal, accounting, and technical advisors during data room management for 6 transactions.</w:t>
      </w:r>
    </w:p>
    <w:p>
      <w:pPr>
        <w:pBdr>
          <w:bottom w:val="single" w:color="93C5F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F4C75"/>
          <w:sz w:val="22"/>
          <w:szCs w:val="22"/>
        </w:rPr>
        <w:t xml:space="preserve">EDUCATION</w:t>
      </w:r>
    </w:p>
    <w:p>
      <w:pPr>
        <w:tabs>
          <w:tab w:val="right" w:pos="8640"/>
        </w:tabs>
        <w:spacing w:after="30" w:before="6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M.B.A. Finance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	2018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2563EB"/>
          <w:sz w:val="20"/>
          <w:szCs w:val="20"/>
        </w:rPr>
        <w:t xml:space="preserve">Columbia Business School</w:t>
      </w:r>
    </w:p>
    <w:p>
      <w:pPr>
        <w:tabs>
          <w:tab w:val="right" w:pos="8640"/>
        </w:tabs>
        <w:spacing w:after="30" w:before="6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B.S. Economics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	2016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2563EB"/>
          <w:sz w:val="20"/>
          <w:szCs w:val="20"/>
        </w:rPr>
        <w:t xml:space="preserve">University of Pennsylvania</w:t>
      </w:r>
    </w:p>
    <w:p>
      <w:pPr>
        <w:pBdr>
          <w:bottom w:val="single" w:color="93C5F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F4C75"/>
          <w:sz w:val="22"/>
          <w:szCs w:val="22"/>
        </w:rPr>
        <w:t xml:space="preserve">CORE SKILLS</w:t>
      </w:r>
    </w:p>
    <w:p>
      <w:pPr>
        <w:spacing w:after="4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AFE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F4C75"/>
                <w:sz w:val="20"/>
                <w:szCs w:val="20"/>
              </w:rPr>
              <w:t xml:space="preserve">Finance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A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M&amp;A · DCF Modeling · LBO Analysis · Capital Markets · Valuation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AFE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F4C75"/>
                <w:sz w:val="20"/>
                <w:szCs w:val="20"/>
              </w:rPr>
              <w:t xml:space="preserve">Tools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A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Bloomberg Terminal · Capital IQ · FactSet · Excel (Advanced) · PowerPoint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AFE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F4C75"/>
                <w:sz w:val="20"/>
                <w:szCs w:val="20"/>
              </w:rPr>
              <w:t xml:space="preserve">Sectors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A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Technology · Healthcare · Consumer &amp; Retail · Financial Services</w:t>
            </w:r>
          </w:p>
        </w:tc>
      </w:tr>
    </w:tbl>
    <w:p>
      <w:pPr>
        <w:spacing w:after="60" w:before="0"/>
      </w:pPr>
    </w:p>
    <w:p>
      <w:pPr>
        <w:pBdr>
          <w:bottom w:val="single" w:color="93C5F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0F4C75"/>
          <w:sz w:val="22"/>
          <w:szCs w:val="22"/>
        </w:rPr>
        <w:t xml:space="preserve">CERTIFICATIONS &amp; CREDENTIALS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1565C0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Series 79 &amp; 63 Licensed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1565C0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CFA Level II Candidate</w:t>
      </w:r>
    </w:p>
    <w:sectPr>
      <w:pgSz w:w="12240" w:h="15840" w:orient="portrait"/>
      <w:pgMar w:top="864" w:right="1008" w:bottom="864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2026-04-20T16:49:28.783Z</dcterms:created>
  <dcterms:modified xsi:type="dcterms:W3CDTF">2026-04-20T16:49:28.783Z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