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AFAF9"/>
          <w:sz w:val="52"/>
          <w:szCs w:val="52"/>
        </w:rPr>
        <w:t xml:space="preserve">Michelle Spark</w:t>
      </w:r>
    </w:p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color w:val="FAFAF9"/>
          <w:sz w:val="24"/>
          <w:szCs w:val="24"/>
        </w:rPr>
        <w:t xml:space="preserve">Mid-Level Financial Advisor</w:t>
      </w:r>
    </w:p>
    <w:p>
      <w:pPr>
        <w:shd w:fill="292524" w:val="clear"/>
        <w:spacing w:after="120" w:before="60"/>
        <w:jc w:val="center"/>
      </w:pPr>
      <w:r>
        <w:rPr>
          <w:rFonts w:ascii="Calibri" w:cs="Calibri" w:eastAsia="Calibri" w:hAnsi="Calibri"/>
          <w:color w:val="FAFAF9"/>
          <w:sz w:val="18"/>
          <w:szCs w:val="18"/>
        </w:rPr>
        <w:t xml:space="preserve">spark@email.com  ·  (555) 201-4411  ·  linkedin.com/in/spark  ·  Phoenix, AZ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Client-focused Financial Advisor with 7 years of experience providing comprehensive wealth management, retirement planning, and investment advisory services. Manages a $65M book of business with a 94% client retention rate. Skilled at translating complex financial concepts into practical, personalized strategies that help clients achieve their long-term goals.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Financial Advisor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Mar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Sunstate Wealth Management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Phoenix, AZ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 a portfolio of 120+ HNW client households with $65M AUM, growing the book by 22% over 3 years.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 comprehensive financial plans encompassing investments, insurance, tax strategy, and estate planning.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Conduct quarterly portfolio reviews, rebalancing allocations in response to market conditions and life events.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Generated $4.2M in new assets through referral programs and community outreach in 2023.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Associate Financial Advisor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2018 – Feb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Desert Ridge Financial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Scottsdale, AZ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lead advisors in managing 200+ client relationships and preparing financial planning documents.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Prepared investment proposals and asset allocation models tailored to individual client risk profiles.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Passed Series 65 and 7 exams, earning full registered investment advisor credentials.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Financial Planning Assistant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Aug 2017 – May 2018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Valley Advisory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Tempe, AZ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Prepared client reports, portfolio statements, and meeting materials for advisor team.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Researched investment products and market trends to support advisor recommendations.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Finance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2017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B45309"/>
          <w:sz w:val="20"/>
          <w:szCs w:val="20"/>
        </w:rPr>
        <w:t xml:space="preserve">Arizona State University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Advisory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Wealth Management · Retirement Planning · Estate Planning · Tax Strategy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Investments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Portfolio Construction · Asset Allocation · Equity &amp; Fixed Income · Alternatives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eMoney · Salesforce · Morningstar · Bloomberg · Redtail CRM</w:t>
            </w:r>
          </w:p>
        </w:tc>
      </w:tr>
    </w:tbl>
    <w:p>
      <w:pPr>
        <w:spacing w:after="60" w:before="0"/>
      </w:pP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CFP – Certified Financial Planner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Series 7 &amp; 66 Licensed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2026-04-20T16:49:28.764Z</dcterms:created>
  <dcterms:modified xsi:type="dcterms:W3CDTF">2026-04-20T16:49:28.764Z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