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8FAFC"/>
          <w:sz w:val="52"/>
          <w:szCs w:val="52"/>
        </w:rPr>
        <w:t xml:space="preserve">Michael Spark</w:t>
      </w:r>
    </w:p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color w:val="F8FAFC"/>
          <w:sz w:val="24"/>
          <w:szCs w:val="24"/>
        </w:rPr>
        <w:t xml:space="preserve">Mid-Level Management Consultant</w:t>
      </w:r>
    </w:p>
    <w:p>
      <w:pPr>
        <w:shd w:fill="0F172A" w:val="clear"/>
        <w:spacing w:after="120" w:before="60"/>
        <w:jc w:val="center"/>
      </w:pPr>
      <w:r>
        <w:rPr>
          <w:rFonts w:ascii="Calibri" w:cs="Calibri" w:eastAsia="Calibri" w:hAnsi="Calibri"/>
          <w:color w:val="F8FAFC"/>
          <w:sz w:val="18"/>
          <w:szCs w:val="18"/>
        </w:rPr>
        <w:t xml:space="preserve">spark@email.com  ·  (555) 201-4410  ·  linkedin.com/in/spark  ·  Boston, MA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Results-oriented Management Consultant with 7 years of experience advising Fortune 500 clients on strategy, operational improvement, and organizational transformation. Skilled in data-driven problem solving, executive communication, and managing multi-stakeholder engagements across healthcare, financial services, and technology industries.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Consultant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Apr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Vantage Strategy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Boston, MA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9-month operational efficiency engagement for a $2B healthcare system, delivering $18M in identified savings.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workstreams of 4 junior consultants, ensuring quality deliverables and on-time milestone completion.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strategic roadmap for a regional bank navigating digital transformation, adopted by the C-suite.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Presented findings to C-level executives and board directors across 12+ client engagements.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Consultant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2018 – Mar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McKinley &amp; Associates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Boston, MA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Analyzed operating cost structures for 6 clients, identifying average savings of 12% of total opex.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Designed and facilitated 30+ stakeholder workshops to align leadership on transformation priorities.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financial business cases for capital investment decisions with IRR models and sensitivity analysis.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2017 – Jun 2018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Brightside Consulting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Cambridge, MA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Conducted market research, competitive benchmarking, and data analysis to support client deliverables.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client-facing presentations synthesizing complex findings into clear recommendations.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M.B.A.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2017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369A1"/>
          <w:sz w:val="20"/>
          <w:szCs w:val="20"/>
        </w:rPr>
        <w:t xml:space="preserve">Harvard Business School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Economics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369A1"/>
          <w:sz w:val="20"/>
          <w:szCs w:val="20"/>
        </w:rPr>
        <w:t xml:space="preserve">Boston College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Consulting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Strategy Development · Operating Model Design · Change Management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Analytics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Financial Modeling · Root Cause Analysis · Process Mapping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PowerPoint · Excel · Tableau · Miro · Salesforce</w:t>
            </w:r>
          </w:p>
        </w:tc>
      </w:tr>
    </w:tbl>
    <w:p>
      <w:pPr>
        <w:spacing w:after="60" w:before="0"/>
      </w:pP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PMP – Project Management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Lean Six Sigma Green Belt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2026-04-20T16:49:28.740Z</dcterms:created>
  <dcterms:modified xsi:type="dcterms:W3CDTF">2026-04-20T16:49:28.740Z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