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7B1D1D" w:val="clear"/>
        <w:spacing w:after="0" w:before="0"/>
        <w:jc w:val="center"/>
      </w:pPr>
      <w:r>
        <w:rPr>
          <w:rFonts w:ascii="Calibri" w:cs="Calibri" w:eastAsia="Calibri" w:hAnsi="Calibri"/>
          <w:b/>
          <w:bCs/>
          <w:color w:val="FFFFFF"/>
          <w:sz w:val="52"/>
          <w:szCs w:val="52"/>
        </w:rPr>
        <w:t xml:space="preserve">Michelle Spark</w:t>
      </w:r>
    </w:p>
    <w:p>
      <w:pPr>
        <w:shd w:fill="7B1D1D" w:val="clear"/>
        <w:spacing w:after="0" w:before="0"/>
        <w:jc w:val="center"/>
      </w:pPr>
      <w:r>
        <w:rPr>
          <w:rFonts w:ascii="Calibri" w:cs="Calibri" w:eastAsia="Calibri" w:hAnsi="Calibri"/>
          <w:color w:val="FFFFFF"/>
          <w:sz w:val="24"/>
          <w:szCs w:val="24"/>
        </w:rPr>
        <w:t xml:space="preserve">Mid-Level Accountant / Auditor</w:t>
      </w:r>
    </w:p>
    <w:p>
      <w:pPr>
        <w:shd w:fill="7B1D1D" w:val="clear"/>
        <w:spacing w:after="120" w:before="60"/>
        <w:jc w:val="center"/>
      </w:pPr>
      <w:r>
        <w:rPr>
          <w:rFonts w:ascii="Calibri" w:cs="Calibri" w:eastAsia="Calibri" w:hAnsi="Calibri"/>
          <w:color w:val="FFFFFF"/>
          <w:sz w:val="18"/>
          <w:szCs w:val="18"/>
        </w:rPr>
        <w:t xml:space="preserve">spark@email.com  ·  (555) 201-4409  ·  linkedin.com/in/spark  ·  Charlotte, NC</w:t>
      </w:r>
    </w:p>
    <w:p>
      <w:pPr>
        <w:pBdr>
          <w:bottom w:val="single" w:color="FCA5A5" w:sz="8"/>
        </w:pBdr>
        <w:spacing w:after="60" w:before="160"/>
      </w:pPr>
      <w:r>
        <w:rPr>
          <w:rFonts w:ascii="Calibri" w:cs="Calibri" w:eastAsia="Calibri" w:hAnsi="Calibri"/>
          <w:b/>
          <w:bCs/>
          <w:color w:val="7B1D1D"/>
          <w:sz w:val="22"/>
          <w:szCs w:val="22"/>
        </w:rPr>
        <w:t xml:space="preserve">PROFESSIONAL SUMMARY</w:t>
      </w:r>
    </w:p>
    <w:p>
      <w:pPr>
        <w:spacing w:after="60" w:before="60"/>
      </w:pPr>
      <w:r>
        <w:rPr>
          <w:rFonts w:ascii="Calibri" w:cs="Calibri" w:eastAsia="Calibri" w:hAnsi="Calibri"/>
          <w:color w:val="374151"/>
          <w:sz w:val="20"/>
          <w:szCs w:val="20"/>
        </w:rPr>
        <w:t xml:space="preserve">Certified Public Accountant with 7 years of experience in financial accounting, external audit, and internal controls. Proficient in GAAP and PCAOB standards with experience across manufacturing, financial services, and technology sectors. Recognized for meticulous attention to detail and strong analytical abilities.</w:t>
      </w:r>
    </w:p>
    <w:p>
      <w:pPr>
        <w:pBdr>
          <w:bottom w:val="single" w:color="FCA5A5" w:sz="8"/>
        </w:pBdr>
        <w:spacing w:after="60" w:before="160"/>
      </w:pPr>
      <w:r>
        <w:rPr>
          <w:rFonts w:ascii="Calibri" w:cs="Calibri" w:eastAsia="Calibri" w:hAnsi="Calibri"/>
          <w:b/>
          <w:bCs/>
          <w:color w:val="7B1D1D"/>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Senior Accountant / Auditor</w:t>
      </w:r>
      <w:r>
        <w:rPr>
          <w:rFonts w:ascii="Calibri" w:cs="Calibri" w:eastAsia="Calibri" w:hAnsi="Calibri"/>
          <w:i/>
          <w:iCs/>
          <w:color w:val="6B7280"/>
          <w:sz w:val="20"/>
          <w:szCs w:val="20"/>
        </w:rPr>
        <w:t xml:space="preserve">	Feb 2021 – Present</w:t>
      </w:r>
    </w:p>
    <w:p>
      <w:pPr>
        <w:tabs>
          <w:tab w:val="right" w:pos="8640"/>
        </w:tabs>
        <w:spacing w:after="60" w:before="0"/>
      </w:pPr>
      <w:r>
        <w:rPr>
          <w:rFonts w:ascii="Calibri" w:cs="Calibri" w:eastAsia="Calibri" w:hAnsi="Calibri"/>
          <w:b w:val="false"/>
          <w:bCs w:val="false"/>
          <w:i/>
          <w:iCs/>
          <w:color w:val="991B1B"/>
          <w:sz w:val="20"/>
          <w:szCs w:val="20"/>
        </w:rPr>
        <w:t xml:space="preserve">Crawford &amp; Stone LLP</w:t>
      </w:r>
      <w:r>
        <w:rPr>
          <w:rFonts w:ascii="Calibri" w:cs="Calibri" w:eastAsia="Calibri" w:hAnsi="Calibri"/>
          <w:color w:val="9CA3AF"/>
          <w:sz w:val="20"/>
          <w:szCs w:val="20"/>
        </w:rPr>
        <w:t xml:space="preserve">	Charlotte, NC</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Led audit engagements for 8 public company clients with revenues ranging from $50M to $500M.</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Supervised teams of 3–5 staff accountants, reviewing work papers and ensuring PCAOB compliance.</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Identified $1.4M in misclassified expenses during a manufacturing client audit, preventing material misstatement.</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internal control testing procedures adopted firm-wide, improving audit efficiency by 18%.</w:t>
      </w:r>
    </w:p>
    <w:p>
      <w:pPr>
        <w:tabs>
          <w:tab w:val="right" w:pos="8640"/>
        </w:tabs>
        <w:spacing w:after="20" w:before="100"/>
      </w:pPr>
      <w:r>
        <w:rPr>
          <w:rFonts w:ascii="Calibri" w:cs="Calibri" w:eastAsia="Calibri" w:hAnsi="Calibri"/>
          <w:b/>
          <w:bCs/>
          <w:color w:val="111827"/>
          <w:sz w:val="22"/>
          <w:szCs w:val="22"/>
        </w:rPr>
        <w:t xml:space="preserve">Staff Auditor</w:t>
      </w:r>
      <w:r>
        <w:rPr>
          <w:rFonts w:ascii="Calibri" w:cs="Calibri" w:eastAsia="Calibri" w:hAnsi="Calibri"/>
          <w:i/>
          <w:iCs/>
          <w:color w:val="6B7280"/>
          <w:sz w:val="20"/>
          <w:szCs w:val="20"/>
        </w:rPr>
        <w:t xml:space="preserve">	Aug 2018 – Jan 2021</w:t>
      </w:r>
    </w:p>
    <w:p>
      <w:pPr>
        <w:tabs>
          <w:tab w:val="right" w:pos="8640"/>
        </w:tabs>
        <w:spacing w:after="60" w:before="0"/>
      </w:pPr>
      <w:r>
        <w:rPr>
          <w:rFonts w:ascii="Calibri" w:cs="Calibri" w:eastAsia="Calibri" w:hAnsi="Calibri"/>
          <w:b w:val="false"/>
          <w:bCs w:val="false"/>
          <w:i/>
          <w:iCs/>
          <w:color w:val="991B1B"/>
          <w:sz w:val="20"/>
          <w:szCs w:val="20"/>
        </w:rPr>
        <w:t xml:space="preserve">Deloitte</w:t>
      </w:r>
      <w:r>
        <w:rPr>
          <w:rFonts w:ascii="Calibri" w:cs="Calibri" w:eastAsia="Calibri" w:hAnsi="Calibri"/>
          <w:color w:val="9CA3AF"/>
          <w:sz w:val="20"/>
          <w:szCs w:val="20"/>
        </w:rPr>
        <w:t xml:space="preserve">	Raleigh, NC</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Performed substantive testing of financial statement assertions across revenue, inventory, and fixed assets.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Executed SOX 404 compliance testing for 15+ public company clients annually.</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Prepared and reviewed financial disclosures in accordance with SEC reporting requirements.</w:t>
      </w:r>
    </w:p>
    <w:p>
      <w:pPr>
        <w:tabs>
          <w:tab w:val="right" w:pos="8640"/>
        </w:tabs>
        <w:spacing w:after="20" w:before="100"/>
      </w:pPr>
      <w:r>
        <w:rPr>
          <w:rFonts w:ascii="Calibri" w:cs="Calibri" w:eastAsia="Calibri" w:hAnsi="Calibri"/>
          <w:b/>
          <w:bCs/>
          <w:color w:val="111827"/>
          <w:sz w:val="22"/>
          <w:szCs w:val="22"/>
        </w:rPr>
        <w:t xml:space="preserve">Accounting Associate</w:t>
      </w:r>
      <w:r>
        <w:rPr>
          <w:rFonts w:ascii="Calibri" w:cs="Calibri" w:eastAsia="Calibri" w:hAnsi="Calibri"/>
          <w:i/>
          <w:iCs/>
          <w:color w:val="6B7280"/>
          <w:sz w:val="20"/>
          <w:szCs w:val="20"/>
        </w:rPr>
        <w:t xml:space="preserve">	Jun 2017 – Jul 2018</w:t>
      </w:r>
    </w:p>
    <w:p>
      <w:pPr>
        <w:tabs>
          <w:tab w:val="right" w:pos="8640"/>
        </w:tabs>
        <w:spacing w:after="60" w:before="0"/>
      </w:pPr>
      <w:r>
        <w:rPr>
          <w:rFonts w:ascii="Calibri" w:cs="Calibri" w:eastAsia="Calibri" w:hAnsi="Calibri"/>
          <w:b w:val="false"/>
          <w:bCs w:val="false"/>
          <w:i/>
          <w:iCs/>
          <w:color w:val="991B1B"/>
          <w:sz w:val="20"/>
          <w:szCs w:val="20"/>
        </w:rPr>
        <w:t xml:space="preserve">TrueNorth Financial Group</w:t>
      </w:r>
      <w:r>
        <w:rPr>
          <w:rFonts w:ascii="Calibri" w:cs="Calibri" w:eastAsia="Calibri" w:hAnsi="Calibri"/>
          <w:color w:val="9CA3AF"/>
          <w:sz w:val="20"/>
          <w:szCs w:val="20"/>
        </w:rPr>
        <w:t xml:space="preserve">	Durham, NC</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accounts payable/receivable and monthly bank reconciliations for a portfolio of SMB clients.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Assisted in preparation of corporate tax returns and financial statements.</w:t>
      </w:r>
    </w:p>
    <w:p>
      <w:pPr>
        <w:pBdr>
          <w:bottom w:val="single" w:color="FCA5A5" w:sz="8"/>
        </w:pBdr>
        <w:spacing w:after="60" w:before="160"/>
      </w:pPr>
      <w:r>
        <w:rPr>
          <w:rFonts w:ascii="Calibri" w:cs="Calibri" w:eastAsia="Calibri" w:hAnsi="Calibri"/>
          <w:b/>
          <w:bCs/>
          <w:color w:val="7B1D1D"/>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B.S. Accounting</w:t>
      </w:r>
      <w:r>
        <w:rPr>
          <w:rFonts w:ascii="Calibri" w:cs="Calibri" w:eastAsia="Calibri" w:hAnsi="Calibri"/>
          <w:color w:val="6B7280"/>
          <w:sz w:val="20"/>
          <w:szCs w:val="20"/>
        </w:rPr>
        <w:t xml:space="preserve">	2017</w:t>
      </w:r>
    </w:p>
    <w:p>
      <w:pPr>
        <w:spacing w:after="40" w:before="0"/>
      </w:pPr>
      <w:r>
        <w:rPr>
          <w:rFonts w:ascii="Calibri" w:cs="Calibri" w:eastAsia="Calibri" w:hAnsi="Calibri"/>
          <w:i/>
          <w:iCs/>
          <w:color w:val="991B1B"/>
          <w:sz w:val="20"/>
          <w:szCs w:val="20"/>
        </w:rPr>
        <w:t xml:space="preserve">University of North Carolina at Charlotte</w:t>
      </w:r>
    </w:p>
    <w:p>
      <w:pPr>
        <w:pBdr>
          <w:bottom w:val="single" w:color="FCA5A5" w:sz="8"/>
        </w:pBdr>
        <w:spacing w:after="60" w:before="160"/>
      </w:pPr>
      <w:r>
        <w:rPr>
          <w:rFonts w:ascii="Calibri" w:cs="Calibri" w:eastAsia="Calibri" w:hAnsi="Calibri"/>
          <w:b/>
          <w:bCs/>
          <w:color w:val="7B1D1D"/>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FEE2E2" w:val="clear"/>
            <w:tcMar>
              <w:top w:type="dxa" w:w="60"/>
              <w:left w:type="dxa" w:w="120"/>
              <w:bottom w:type="dxa" w:w="60"/>
              <w:right w:type="dxa" w:w="60"/>
            </w:tcMar>
          </w:tcPr>
          <w:p>
            <w:r>
              <w:rPr>
                <w:rFonts w:ascii="Calibri" w:cs="Calibri" w:eastAsia="Calibri" w:hAnsi="Calibri"/>
                <w:b/>
                <w:bCs/>
                <w:color w:val="7B1D1D"/>
                <w:sz w:val="20"/>
                <w:szCs w:val="20"/>
              </w:rPr>
              <w:t xml:space="preserve">Accounting</w:t>
            </w:r>
          </w:p>
        </w:tc>
        <w:tc>
          <w:tcPr>
            <w:tcW w:type="dxa" w:w="7360"/>
            <w:tcBorders>
              <w:top w:val="none" w:color="FFFFFF" w:sz="0"/>
              <w:left w:val="none" w:color="FFFFFF" w:sz="0"/>
              <w:bottom w:val="none" w:color="FFFFFF" w:sz="0"/>
              <w:right w:val="none" w:color="FFFFFF" w:sz="0"/>
            </w:tcBorders>
            <w:shd w:fill="FEE2E2" w:val="clear"/>
            <w:tcMar>
              <w:top w:type="dxa" w:w="60"/>
              <w:left w:type="dxa" w:w="120"/>
              <w:bottom w:type="dxa" w:w="60"/>
              <w:right w:type="dxa" w:w="120"/>
            </w:tcMar>
          </w:tcPr>
          <w:p>
            <w:r>
              <w:rPr>
                <w:rFonts w:ascii="Calibri" w:cs="Calibri" w:eastAsia="Calibri" w:hAnsi="Calibri"/>
                <w:color w:val="374151"/>
                <w:sz w:val="20"/>
                <w:szCs w:val="20"/>
              </w:rPr>
              <w:t xml:space="preserve">GAAP · IFRS · PCAOB · SOX Compliance · Financial Reporting</w:t>
            </w:r>
          </w:p>
        </w:tc>
      </w:tr>
      <w:tr>
        <w:tc>
          <w:tcPr>
            <w:tcW w:type="dxa" w:w="2000"/>
            <w:tcBorders>
              <w:top w:val="none" w:color="FFFFFF" w:sz="0"/>
              <w:left w:val="none" w:color="FFFFFF" w:sz="0"/>
              <w:bottom w:val="none" w:color="FFFFFF" w:sz="0"/>
              <w:right w:val="none" w:color="FFFFFF" w:sz="0"/>
            </w:tcBorders>
            <w:shd w:fill="FEE2E2" w:val="clear"/>
            <w:tcMar>
              <w:top w:type="dxa" w:w="60"/>
              <w:left w:type="dxa" w:w="120"/>
              <w:bottom w:type="dxa" w:w="60"/>
              <w:right w:type="dxa" w:w="60"/>
            </w:tcMar>
          </w:tcPr>
          <w:p>
            <w:r>
              <w:rPr>
                <w:rFonts w:ascii="Calibri" w:cs="Calibri" w:eastAsia="Calibri" w:hAnsi="Calibri"/>
                <w:b/>
                <w:bCs/>
                <w:color w:val="7B1D1D"/>
                <w:sz w:val="20"/>
                <w:szCs w:val="20"/>
              </w:rPr>
              <w:t xml:space="preserve">Tools</w:t>
            </w:r>
          </w:p>
        </w:tc>
        <w:tc>
          <w:tcPr>
            <w:tcW w:type="dxa" w:w="7360"/>
            <w:tcBorders>
              <w:top w:val="none" w:color="FFFFFF" w:sz="0"/>
              <w:left w:val="none" w:color="FFFFFF" w:sz="0"/>
              <w:bottom w:val="none" w:color="FFFFFF" w:sz="0"/>
              <w:right w:val="none" w:color="FFFFFF" w:sz="0"/>
            </w:tcBorders>
            <w:shd w:fill="FEE2E2" w:val="clear"/>
            <w:tcMar>
              <w:top w:type="dxa" w:w="60"/>
              <w:left w:type="dxa" w:w="120"/>
              <w:bottom w:type="dxa" w:w="60"/>
              <w:right w:type="dxa" w:w="120"/>
            </w:tcMar>
          </w:tcPr>
          <w:p>
            <w:r>
              <w:rPr>
                <w:rFonts w:ascii="Calibri" w:cs="Calibri" w:eastAsia="Calibri" w:hAnsi="Calibri"/>
                <w:color w:val="374151"/>
                <w:sz w:val="20"/>
                <w:szCs w:val="20"/>
              </w:rPr>
              <w:t xml:space="preserve">QuickBooks · SAP · Oracle Financials · CCH Engagement · Excel</w:t>
            </w:r>
          </w:p>
        </w:tc>
      </w:tr>
      <w:tr>
        <w:tc>
          <w:tcPr>
            <w:tcW w:type="dxa" w:w="2000"/>
            <w:tcBorders>
              <w:top w:val="none" w:color="FFFFFF" w:sz="0"/>
              <w:left w:val="none" w:color="FFFFFF" w:sz="0"/>
              <w:bottom w:val="none" w:color="FFFFFF" w:sz="0"/>
              <w:right w:val="none" w:color="FFFFFF" w:sz="0"/>
            </w:tcBorders>
            <w:shd w:fill="FEE2E2" w:val="clear"/>
            <w:tcMar>
              <w:top w:type="dxa" w:w="60"/>
              <w:left w:type="dxa" w:w="120"/>
              <w:bottom w:type="dxa" w:w="60"/>
              <w:right w:type="dxa" w:w="60"/>
            </w:tcMar>
          </w:tcPr>
          <w:p>
            <w:r>
              <w:rPr>
                <w:rFonts w:ascii="Calibri" w:cs="Calibri" w:eastAsia="Calibri" w:hAnsi="Calibri"/>
                <w:b/>
                <w:bCs/>
                <w:color w:val="7B1D1D"/>
                <w:sz w:val="20"/>
                <w:szCs w:val="20"/>
              </w:rPr>
              <w:t xml:space="preserve">Audit</w:t>
            </w:r>
          </w:p>
        </w:tc>
        <w:tc>
          <w:tcPr>
            <w:tcW w:type="dxa" w:w="7360"/>
            <w:tcBorders>
              <w:top w:val="none" w:color="FFFFFF" w:sz="0"/>
              <w:left w:val="none" w:color="FFFFFF" w:sz="0"/>
              <w:bottom w:val="none" w:color="FFFFFF" w:sz="0"/>
              <w:right w:val="none" w:color="FFFFFF" w:sz="0"/>
            </w:tcBorders>
            <w:shd w:fill="FEE2E2" w:val="clear"/>
            <w:tcMar>
              <w:top w:type="dxa" w:w="60"/>
              <w:left w:type="dxa" w:w="120"/>
              <w:bottom w:type="dxa" w:w="60"/>
              <w:right w:type="dxa" w:w="120"/>
            </w:tcMar>
          </w:tcPr>
          <w:p>
            <w:r>
              <w:rPr>
                <w:rFonts w:ascii="Calibri" w:cs="Calibri" w:eastAsia="Calibri" w:hAnsi="Calibri"/>
                <w:color w:val="374151"/>
                <w:sz w:val="20"/>
                <w:szCs w:val="20"/>
              </w:rPr>
              <w:t xml:space="preserve">Internal Controls · Risk Assessment · Substantive Testing · SEC Reporting</w:t>
            </w:r>
          </w:p>
        </w:tc>
      </w:tr>
    </w:tbl>
    <w:p>
      <w:pPr>
        <w:spacing w:after="60" w:before="0"/>
      </w:pPr>
    </w:p>
    <w:p>
      <w:pPr>
        <w:pBdr>
          <w:bottom w:val="single" w:color="FCA5A5" w:sz="8"/>
        </w:pBdr>
        <w:spacing w:after="60" w:before="160"/>
      </w:pPr>
      <w:r>
        <w:rPr>
          <w:rFonts w:ascii="Calibri" w:cs="Calibri" w:eastAsia="Calibri" w:hAnsi="Calibri"/>
          <w:b/>
          <w:bCs/>
          <w:color w:val="7B1D1D"/>
          <w:sz w:val="22"/>
          <w:szCs w:val="22"/>
        </w:rPr>
        <w:t xml:space="preserve">CERTIFICATIONS &amp; CREDENTIALS</w:t>
      </w:r>
    </w:p>
    <w:p>
      <w:pPr>
        <w:spacing w:after="40" w:before="40"/>
        <w:ind w:left="240"/>
      </w:pPr>
      <w:r>
        <w:rPr>
          <w:rFonts w:ascii="Calibri" w:cs="Calibri" w:eastAsia="Calibri" w:hAnsi="Calibri"/>
          <w:color w:val="B91C1C"/>
          <w:sz w:val="20"/>
          <w:szCs w:val="20"/>
        </w:rPr>
        <w:t xml:space="preserve">✓  </w:t>
      </w:r>
      <w:r>
        <w:rPr>
          <w:rFonts w:ascii="Calibri" w:cs="Calibri" w:eastAsia="Calibri" w:hAnsi="Calibri"/>
          <w:color w:val="374151"/>
          <w:sz w:val="20"/>
          <w:szCs w:val="20"/>
        </w:rPr>
        <w:t xml:space="preserve">CPA – Certified Public Accountant</w:t>
      </w:r>
    </w:p>
    <w:p>
      <w:pPr>
        <w:spacing w:after="40" w:before="40"/>
        <w:ind w:left="240"/>
      </w:pPr>
      <w:r>
        <w:rPr>
          <w:rFonts w:ascii="Calibri" w:cs="Calibri" w:eastAsia="Calibri" w:hAnsi="Calibri"/>
          <w:color w:val="B91C1C"/>
          <w:sz w:val="20"/>
          <w:szCs w:val="20"/>
        </w:rPr>
        <w:t xml:space="preserve">✓  </w:t>
      </w:r>
      <w:r>
        <w:rPr>
          <w:rFonts w:ascii="Calibri" w:cs="Calibri" w:eastAsia="Calibri" w:hAnsi="Calibri"/>
          <w:color w:val="374151"/>
          <w:sz w:val="20"/>
          <w:szCs w:val="20"/>
        </w:rPr>
        <w:t xml:space="preserve">CIA – Certified Internal Auditor</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2026-04-20T16:49:28.714Z</dcterms:created>
  <dcterms:modified xsi:type="dcterms:W3CDTF">2026-04-20T16:49:28.714Z</dcterms:modified>
</cp:coreProperties>
</file>

<file path=docProps/custom.xml><?xml version="1.0" encoding="utf-8"?>
<Properties xmlns="http://schemas.openxmlformats.org/officeDocument/2006/custom-properties" xmlns:vt="http://schemas.openxmlformats.org/officeDocument/2006/docPropsVTypes"/>
</file>