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2A4A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Michelle Spark</w:t>
      </w:r>
    </w:p>
    <w:p>
      <w:pPr>
        <w:shd w:fill="1B2A4A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Systems Analyst</w:t>
      </w:r>
    </w:p>
    <w:p>
      <w:pPr>
        <w:shd w:fill="1B2A4A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201-4407  ·  linkedin.com/in/spark  ·  Atlanta, GA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Detail-oriented Systems Analyst with 6 years of experience bridging business needs and technology solutions. Skilled in requirements gathering, business process modeling, and ERP systems. Adept at communicating complex technical concepts to non-technical stakeholders and delivering systems improvements that enhance operational efficiency.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Systems Analyst II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Mar 2021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Peachtree Business Technologies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Atlanta, GA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Gathered and documented business requirements for a $3M ERP implementation, ensuring 100% stakeholder alignment.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Analyzed and redesigned 15 core business processes, reducing processing time by an average of 38%.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Created detailed functional specifications, use cases, and data flow diagrams for IT development teams.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Facilitated UAT sessions with 50+ end users, resolving 120+ defects before production release.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Systems Analyst I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2019 – Feb 2021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Southeast Logistics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Savannah, GA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Analyzed warehouse management system workflows and recommended improvements reducing errors by 22%.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Served as liaison between operations and IT during a system migration affecting 300+ users.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Produced training materials and led workshops for 4 business units during system rollouts.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Business Analyst Intern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Jan 2019 – Jun 2019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DataBridge Consulting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Atlanta, GA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requirement gathering sessions and maintained traceability matrices for client projects.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Assisted in preparing test scripts and validating system outputs against business rules.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B.B.A. Management Information Systems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2019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92400E"/>
          <w:sz w:val="20"/>
          <w:szCs w:val="20"/>
        </w:rPr>
        <w:t xml:space="preserve">Georgia State University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Analysis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Requirements Gathering · Process Modeling · Gap Analysis · UAT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Visio · JIRA · Confluence · SAP · SQL · Power BI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Methodologies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Agile/Scrum · SDLC · BPMN · Waterfall</w:t>
            </w:r>
          </w:p>
        </w:tc>
      </w:tr>
    </w:tbl>
    <w:p>
      <w:pPr>
        <w:spacing w:after="60" w:before="0"/>
      </w:pP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C9A84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CBAP – Certified Business Analysis Professional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C9A84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IIBA Entry Certificate in Business Analysis (ECBA)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2026-04-20T16:49:28.643Z</dcterms:created>
  <dcterms:modified xsi:type="dcterms:W3CDTF">2026-04-20T16:49:28.643Z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